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C0EF" w14:textId="77777777" w:rsidR="008369AC" w:rsidRDefault="008369AC"/>
    <w:p w14:paraId="01D63E16" w14:textId="42BC5C49" w:rsidR="008369AC" w:rsidRDefault="0033063E" w:rsidP="008369AC">
      <w:pPr>
        <w:spacing w:before="120" w:after="120" w:line="23" w:lineRule="atLeast"/>
        <w:jc w:val="both"/>
        <w:rPr>
          <w:rFonts w:ascii="Franklin Gothic Book" w:hAnsi="Franklin Gothic Book" w:cstheme="minorHAnsi"/>
          <w:color w:val="000000"/>
        </w:rPr>
      </w:pPr>
      <w:r w:rsidRPr="0033063E">
        <w:rPr>
          <w:rFonts w:ascii="Franklin Gothic Book" w:hAnsi="Franklin Gothic Book" w:cstheme="minorHAnsi"/>
          <w:color w:val="000000"/>
        </w:rPr>
        <w:t xml:space="preserve">Załącznik nr </w:t>
      </w:r>
      <w:r w:rsidR="00855727">
        <w:rPr>
          <w:rFonts w:ascii="Franklin Gothic Book" w:hAnsi="Franklin Gothic Book" w:cstheme="minorHAnsi"/>
          <w:color w:val="000000"/>
        </w:rPr>
        <w:t>1</w:t>
      </w:r>
      <w:r w:rsidR="00EE3633">
        <w:rPr>
          <w:rFonts w:ascii="Franklin Gothic Book" w:hAnsi="Franklin Gothic Book" w:cstheme="minorHAnsi"/>
          <w:color w:val="000000"/>
        </w:rPr>
        <w:t>.</w:t>
      </w:r>
      <w:r w:rsidRPr="0033063E">
        <w:rPr>
          <w:rFonts w:ascii="Franklin Gothic Book" w:hAnsi="Franklin Gothic Book" w:cstheme="minorHAnsi"/>
          <w:color w:val="000000"/>
        </w:rPr>
        <w:t xml:space="preserve"> Wymagania jakościowe i zabezpieczenia antykorozyjne</w:t>
      </w:r>
      <w:r w:rsidR="00EE3633">
        <w:rPr>
          <w:rFonts w:ascii="Franklin Gothic Book" w:hAnsi="Franklin Gothic Book" w:cstheme="minorHAnsi"/>
          <w:color w:val="000000"/>
        </w:rPr>
        <w:t>:</w:t>
      </w:r>
    </w:p>
    <w:p w14:paraId="3CC97921" w14:textId="77777777" w:rsidR="0033063E" w:rsidRDefault="0033063E" w:rsidP="008369AC">
      <w:pPr>
        <w:spacing w:before="120" w:after="120" w:line="23" w:lineRule="atLeast"/>
        <w:jc w:val="both"/>
        <w:rPr>
          <w:rFonts w:ascii="Franklin Gothic Book" w:hAnsi="Franklin Gothic Book" w:cstheme="minorHAnsi"/>
          <w:color w:val="000000"/>
        </w:rPr>
      </w:pPr>
    </w:p>
    <w:p w14:paraId="066848DE" w14:textId="6E67AD7B" w:rsidR="0022575F" w:rsidRPr="00AA0846" w:rsidRDefault="008369AC" w:rsidP="008369AC">
      <w:pPr>
        <w:pStyle w:val="Akapitzlist"/>
        <w:numPr>
          <w:ilvl w:val="0"/>
          <w:numId w:val="1"/>
        </w:numPr>
        <w:tabs>
          <w:tab w:val="left" w:pos="284"/>
        </w:tabs>
        <w:spacing w:before="120" w:after="120" w:line="23" w:lineRule="atLeast"/>
        <w:contextualSpacing w:val="0"/>
        <w:jc w:val="both"/>
        <w:rPr>
          <w:rFonts w:ascii="Franklin Gothic Book" w:eastAsiaTheme="minorHAnsi" w:hAnsi="Franklin Gothic Book" w:cs="Arial"/>
          <w:b/>
          <w:sz w:val="22"/>
          <w:szCs w:val="22"/>
        </w:rPr>
      </w:pPr>
      <w:r w:rsidRPr="00AA0846">
        <w:rPr>
          <w:rFonts w:ascii="Franklin Gothic Book" w:eastAsiaTheme="minorHAnsi" w:hAnsi="Franklin Gothic Book" w:cs="Arial"/>
          <w:b/>
          <w:sz w:val="22"/>
          <w:szCs w:val="22"/>
        </w:rPr>
        <w:t>Dokumentacja jakościowa związana z realizacją Umowy będzie dostarczona Zama</w:t>
      </w:r>
      <w:r w:rsidR="0033063E" w:rsidRPr="00AA0846">
        <w:rPr>
          <w:rFonts w:ascii="Franklin Gothic Book" w:eastAsiaTheme="minorHAnsi" w:hAnsi="Franklin Gothic Book" w:cs="Arial"/>
          <w:b/>
          <w:sz w:val="22"/>
          <w:szCs w:val="22"/>
        </w:rPr>
        <w:t>wiającemu w formie papierowej (1</w:t>
      </w:r>
      <w:r w:rsidRPr="00AA0846">
        <w:rPr>
          <w:rFonts w:ascii="Franklin Gothic Book" w:eastAsiaTheme="minorHAnsi" w:hAnsi="Franklin Gothic Book" w:cs="Arial"/>
          <w:b/>
          <w:sz w:val="22"/>
          <w:szCs w:val="22"/>
        </w:rPr>
        <w:t xml:space="preserve"> egz.) + </w:t>
      </w:r>
      <w:r w:rsidR="0022575F" w:rsidRPr="00AA0846">
        <w:rPr>
          <w:rFonts w:ascii="Franklin Gothic Book" w:eastAsiaTheme="minorHAnsi" w:hAnsi="Franklin Gothic Book" w:cs="Arial"/>
          <w:b/>
          <w:sz w:val="22"/>
          <w:szCs w:val="22"/>
        </w:rPr>
        <w:t xml:space="preserve">wersja elektroniczna w formacie </w:t>
      </w:r>
      <w:r w:rsidRPr="00AA0846">
        <w:rPr>
          <w:rFonts w:ascii="Franklin Gothic Book" w:eastAsiaTheme="minorHAnsi" w:hAnsi="Franklin Gothic Book" w:cs="Arial"/>
          <w:b/>
          <w:sz w:val="22"/>
          <w:szCs w:val="22"/>
        </w:rPr>
        <w:t xml:space="preserve">pdf. </w:t>
      </w:r>
    </w:p>
    <w:p w14:paraId="13187A62" w14:textId="6BC1D72A" w:rsidR="008369AC" w:rsidRPr="00AA0846" w:rsidRDefault="008369AC" w:rsidP="0022575F">
      <w:pPr>
        <w:pStyle w:val="Akapitzlist"/>
        <w:tabs>
          <w:tab w:val="left" w:pos="284"/>
        </w:tabs>
        <w:spacing w:before="120" w:after="120" w:line="23" w:lineRule="atLeast"/>
        <w:ind w:left="1440"/>
        <w:contextualSpacing w:val="0"/>
        <w:jc w:val="both"/>
        <w:rPr>
          <w:rFonts w:ascii="Franklin Gothic Book" w:eastAsiaTheme="minorHAnsi" w:hAnsi="Franklin Gothic Book" w:cs="Arial"/>
          <w:b/>
          <w:sz w:val="22"/>
          <w:szCs w:val="22"/>
        </w:rPr>
      </w:pPr>
      <w:r w:rsidRPr="00AA0846">
        <w:rPr>
          <w:rFonts w:ascii="Franklin Gothic Book" w:eastAsiaTheme="minorHAnsi" w:hAnsi="Franklin Gothic Book" w:cs="Arial"/>
          <w:b/>
          <w:sz w:val="22"/>
          <w:szCs w:val="22"/>
        </w:rPr>
        <w:t>Dokumentacja jakościowa powinna zawierać:</w:t>
      </w:r>
    </w:p>
    <w:p w14:paraId="568902C8" w14:textId="076675E6" w:rsidR="00275D01" w:rsidRDefault="00275D01"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 xml:space="preserve">Dokumenty kontroli materiałów wg. normy PN-EN 10204 </w:t>
      </w:r>
    </w:p>
    <w:p w14:paraId="3C28CC46" w14:textId="02EE6A13" w:rsidR="006E32E5" w:rsidRPr="008369AC" w:rsidRDefault="006E32E5" w:rsidP="006E32E5">
      <w:pPr>
        <w:pStyle w:val="Akapitzlist"/>
        <w:tabs>
          <w:tab w:val="left" w:pos="284"/>
        </w:tabs>
        <w:spacing w:before="120" w:after="120" w:line="23" w:lineRule="atLeast"/>
        <w:ind w:left="1353"/>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w:t>
      </w:r>
      <w:r w:rsidRPr="008369AC">
        <w:rPr>
          <w:rFonts w:ascii="Franklin Gothic Book" w:eastAsiaTheme="minorHAnsi" w:hAnsi="Franklin Gothic Book" w:cs="Arial"/>
          <w:sz w:val="22"/>
          <w:szCs w:val="22"/>
        </w:rPr>
        <w:t>Atesty na materiały podstawowe</w:t>
      </w:r>
    </w:p>
    <w:p w14:paraId="00C5B7CC" w14:textId="062A6254" w:rsidR="006E32E5" w:rsidRPr="006E32E5" w:rsidRDefault="006E32E5" w:rsidP="006E32E5">
      <w:pPr>
        <w:pStyle w:val="Akapitzlist"/>
        <w:tabs>
          <w:tab w:val="left" w:pos="284"/>
        </w:tabs>
        <w:spacing w:before="120" w:after="120" w:line="23" w:lineRule="atLeast"/>
        <w:ind w:left="1353"/>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w:t>
      </w:r>
      <w:r w:rsidRPr="008369AC">
        <w:rPr>
          <w:rFonts w:ascii="Franklin Gothic Book" w:eastAsiaTheme="minorHAnsi" w:hAnsi="Franklin Gothic Book" w:cs="Arial"/>
          <w:sz w:val="22"/>
          <w:szCs w:val="22"/>
        </w:rPr>
        <w:t>Atesty na materiały spawalnicze</w:t>
      </w:r>
    </w:p>
    <w:p w14:paraId="1A71CF48" w14:textId="3D28852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Deklarację zgodności</w:t>
      </w:r>
      <w:r w:rsidR="00275D01">
        <w:rPr>
          <w:rFonts w:ascii="Franklin Gothic Book" w:eastAsiaTheme="minorHAnsi" w:hAnsi="Franklin Gothic Book" w:cs="Arial"/>
          <w:sz w:val="22"/>
          <w:szCs w:val="22"/>
        </w:rPr>
        <w:t xml:space="preserve"> CE</w:t>
      </w:r>
    </w:p>
    <w:p w14:paraId="1B29B13C"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Plan Kontroli i Badań</w:t>
      </w:r>
    </w:p>
    <w:p w14:paraId="2981077E" w14:textId="77777777" w:rsidR="008369AC" w:rsidRPr="008369AC" w:rsidRDefault="008369AC" w:rsidP="008369AC">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 xml:space="preserve">Certyfikaty Wytwórcy </w:t>
      </w:r>
    </w:p>
    <w:p w14:paraId="78671CD3" w14:textId="77777777" w:rsidR="00275D01" w:rsidRPr="00275D01" w:rsidRDefault="008369AC" w:rsidP="00275D01">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275D01">
        <w:rPr>
          <w:rFonts w:ascii="Franklin Gothic Book" w:eastAsiaTheme="minorHAnsi" w:hAnsi="Franklin Gothic Book" w:cs="Arial"/>
          <w:sz w:val="22"/>
          <w:szCs w:val="22"/>
        </w:rPr>
        <w:t>Kwalifikacje spawaczy</w:t>
      </w:r>
      <w:r w:rsidR="00275D01" w:rsidRPr="00275D01">
        <w:rPr>
          <w:rFonts w:ascii="Franklin Gothic Book" w:hAnsi="Franklin Gothic Book" w:cs="Arial"/>
        </w:rPr>
        <w:t xml:space="preserve"> wg. PN EN ISO 9606</w:t>
      </w:r>
    </w:p>
    <w:p w14:paraId="13F98A3C" w14:textId="560E29D1" w:rsidR="008369AC" w:rsidRPr="00275D01" w:rsidRDefault="008369AC" w:rsidP="00275D01">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275D01">
        <w:rPr>
          <w:rFonts w:ascii="Franklin Gothic Book" w:eastAsiaTheme="minorHAnsi" w:hAnsi="Franklin Gothic Book" w:cs="Arial"/>
          <w:sz w:val="22"/>
          <w:szCs w:val="22"/>
        </w:rPr>
        <w:t>Kwalifikacje personelu wykonującego badania NDT</w:t>
      </w:r>
      <w:r w:rsidR="00275D01" w:rsidRPr="00275D01">
        <w:rPr>
          <w:rFonts w:ascii="Franklin Gothic Book" w:hAnsi="Franklin Gothic Book" w:cs="Arial"/>
        </w:rPr>
        <w:t xml:space="preserve"> wg. PN EN ISO 9712</w:t>
      </w:r>
    </w:p>
    <w:p w14:paraId="58EB1260" w14:textId="5AE0D749" w:rsidR="006E32E5" w:rsidRDefault="008369AC" w:rsidP="006E32E5">
      <w:pPr>
        <w:pStyle w:val="Akapitzlist"/>
        <w:numPr>
          <w:ilvl w:val="1"/>
          <w:numId w:val="1"/>
        </w:numPr>
        <w:tabs>
          <w:tab w:val="left" w:pos="284"/>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Instrukcje technologiczne spawania WPS/WPQR</w:t>
      </w:r>
      <w:r w:rsidR="006E32E5">
        <w:rPr>
          <w:rFonts w:ascii="Franklin Gothic Book" w:eastAsiaTheme="minorHAnsi" w:hAnsi="Franklin Gothic Book" w:cs="Arial"/>
          <w:sz w:val="22"/>
          <w:szCs w:val="22"/>
        </w:rPr>
        <w:t xml:space="preserve"> zatwierdzone przez jednostkę notyfikowaną</w:t>
      </w:r>
    </w:p>
    <w:p w14:paraId="73AE2794" w14:textId="5FD7126F" w:rsidR="008369AC" w:rsidRPr="006E32E5"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6E32E5">
        <w:rPr>
          <w:rFonts w:ascii="Franklin Gothic Book" w:eastAsiaTheme="minorHAnsi" w:hAnsi="Franklin Gothic Book" w:cs="Arial"/>
          <w:sz w:val="22"/>
          <w:szCs w:val="22"/>
        </w:rPr>
        <w:t>Plany spawania i badań</w:t>
      </w:r>
    </w:p>
    <w:p w14:paraId="7B314B7A" w14:textId="77777777"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Dzienniki spawania</w:t>
      </w:r>
    </w:p>
    <w:p w14:paraId="2DCAEB38" w14:textId="24AFDC1F" w:rsidR="008369AC" w:rsidRDefault="008369AC" w:rsidP="008F352F">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6E32E5">
        <w:rPr>
          <w:rFonts w:ascii="Franklin Gothic Book" w:eastAsiaTheme="minorHAnsi" w:hAnsi="Franklin Gothic Book" w:cs="Arial"/>
          <w:sz w:val="22"/>
          <w:szCs w:val="22"/>
        </w:rPr>
        <w:t>Protokoły z badań</w:t>
      </w:r>
      <w:r w:rsidR="006E32E5">
        <w:rPr>
          <w:rFonts w:ascii="Franklin Gothic Book" w:eastAsiaTheme="minorHAnsi" w:hAnsi="Franklin Gothic Book" w:cs="Arial"/>
          <w:sz w:val="22"/>
          <w:szCs w:val="22"/>
        </w:rPr>
        <w:t xml:space="preserve"> </w:t>
      </w:r>
      <w:r w:rsidRPr="006E32E5">
        <w:rPr>
          <w:rFonts w:ascii="Franklin Gothic Book" w:eastAsiaTheme="minorHAnsi" w:hAnsi="Franklin Gothic Book" w:cs="Arial"/>
          <w:sz w:val="22"/>
          <w:szCs w:val="22"/>
        </w:rPr>
        <w:t>NDT</w:t>
      </w:r>
    </w:p>
    <w:p w14:paraId="31E504D8" w14:textId="68432AB0" w:rsidR="008369AC" w:rsidRPr="006E32E5" w:rsidRDefault="006E32E5"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Protokoły z przeniesienia</w:t>
      </w:r>
      <w:r w:rsidR="008369AC" w:rsidRPr="008369AC">
        <w:rPr>
          <w:rFonts w:ascii="Franklin Gothic Book" w:eastAsiaTheme="minorHAnsi" w:hAnsi="Franklin Gothic Book" w:cs="Arial"/>
          <w:sz w:val="22"/>
          <w:szCs w:val="22"/>
        </w:rPr>
        <w:t xml:space="preserve"> cech materiałowych</w:t>
      </w:r>
    </w:p>
    <w:p w14:paraId="39F78F03" w14:textId="1BA2B8FC" w:rsidR="008369AC" w:rsidRPr="008369AC" w:rsidRDefault="00DE57B1"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Protokoły z zabezpieczenia</w:t>
      </w:r>
      <w:r w:rsidR="008369AC" w:rsidRPr="008369AC">
        <w:rPr>
          <w:rFonts w:ascii="Franklin Gothic Book" w:eastAsiaTheme="minorHAnsi" w:hAnsi="Franklin Gothic Book" w:cs="Arial"/>
          <w:sz w:val="22"/>
          <w:szCs w:val="22"/>
        </w:rPr>
        <w:t xml:space="preserve"> </w:t>
      </w:r>
      <w:r>
        <w:rPr>
          <w:rFonts w:ascii="Franklin Gothic Book" w:eastAsiaTheme="minorHAnsi" w:hAnsi="Franklin Gothic Book" w:cs="Arial"/>
          <w:sz w:val="22"/>
          <w:szCs w:val="22"/>
        </w:rPr>
        <w:t xml:space="preserve">antykorozyjnego </w:t>
      </w:r>
    </w:p>
    <w:p w14:paraId="693636EF" w14:textId="7C9FE3BE" w:rsidR="008369AC" w:rsidRPr="008369AC" w:rsidRDefault="00DE57B1"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Protokoły z prób wodnych, ruchowych, obciążeniowych itp.</w:t>
      </w:r>
    </w:p>
    <w:p w14:paraId="5FE66EA6" w14:textId="0A4EFAA8"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Oświadczenie kierownika robót/montażu</w:t>
      </w:r>
      <w:r w:rsidR="00DE57B1">
        <w:rPr>
          <w:rFonts w:ascii="Franklin Gothic Book" w:eastAsiaTheme="minorHAnsi" w:hAnsi="Franklin Gothic Book" w:cs="Arial"/>
          <w:sz w:val="22"/>
          <w:szCs w:val="22"/>
        </w:rPr>
        <w:t xml:space="preserve"> </w:t>
      </w:r>
    </w:p>
    <w:p w14:paraId="262FD1DD" w14:textId="646835F6"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Operaty geodezyjne</w:t>
      </w:r>
      <w:r w:rsidR="00DE57B1">
        <w:rPr>
          <w:rFonts w:ascii="Franklin Gothic Book" w:eastAsiaTheme="minorHAnsi" w:hAnsi="Franklin Gothic Book" w:cs="Arial"/>
          <w:sz w:val="22"/>
          <w:szCs w:val="22"/>
        </w:rPr>
        <w:t>/ Protokoły pomiarowe</w:t>
      </w:r>
    </w:p>
    <w:p w14:paraId="1392D2EB" w14:textId="5A120F5C" w:rsidR="008369AC" w:rsidRPr="008369AC" w:rsidRDefault="00DE57B1"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Pr>
          <w:rFonts w:ascii="Franklin Gothic Book" w:eastAsiaTheme="minorHAnsi" w:hAnsi="Franklin Gothic Book" w:cs="Arial"/>
          <w:sz w:val="22"/>
          <w:szCs w:val="22"/>
        </w:rPr>
        <w:t xml:space="preserve">Protokoły z wykonania połączeń sprężanych oraz niesprężanych </w:t>
      </w:r>
      <w:r w:rsidR="008369AC" w:rsidRPr="008369AC">
        <w:rPr>
          <w:rFonts w:ascii="Franklin Gothic Book" w:eastAsiaTheme="minorHAnsi" w:hAnsi="Franklin Gothic Book" w:cs="Arial"/>
          <w:sz w:val="22"/>
          <w:szCs w:val="22"/>
        </w:rPr>
        <w:t>śrub</w:t>
      </w:r>
    </w:p>
    <w:p w14:paraId="02B24DBA" w14:textId="77777777" w:rsidR="008369AC" w:rsidRP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Zatwierdzona dokumentacja rysunkowa</w:t>
      </w:r>
    </w:p>
    <w:p w14:paraId="0D5C8F92" w14:textId="01E4204E" w:rsidR="008369AC" w:rsidRDefault="008369AC" w:rsidP="006E32E5">
      <w:pPr>
        <w:pStyle w:val="Akapitzlist"/>
        <w:numPr>
          <w:ilvl w:val="1"/>
          <w:numId w:val="1"/>
        </w:numPr>
        <w:tabs>
          <w:tab w:val="left" w:pos="284"/>
          <w:tab w:val="left" w:pos="1560"/>
        </w:tabs>
        <w:spacing w:before="120" w:after="120" w:line="23" w:lineRule="atLeast"/>
        <w:contextualSpacing w:val="0"/>
        <w:jc w:val="both"/>
        <w:rPr>
          <w:rFonts w:ascii="Franklin Gothic Book" w:eastAsiaTheme="minorHAnsi" w:hAnsi="Franklin Gothic Book" w:cs="Arial"/>
          <w:sz w:val="22"/>
          <w:szCs w:val="22"/>
        </w:rPr>
      </w:pPr>
      <w:r w:rsidRPr="008369AC">
        <w:rPr>
          <w:rFonts w:ascii="Franklin Gothic Book" w:eastAsiaTheme="minorHAnsi" w:hAnsi="Franklin Gothic Book" w:cs="Arial"/>
          <w:sz w:val="22"/>
          <w:szCs w:val="22"/>
        </w:rPr>
        <w:t>Protokoły odbiorowe OCI/OCB/OK</w:t>
      </w:r>
    </w:p>
    <w:p w14:paraId="27B808AF" w14:textId="5A31EBD4"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48311515" w14:textId="1E02A424"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665FC6ED" w14:textId="035F67BD"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7E1B77E0" w14:textId="1A774C9C" w:rsidR="00DE57B1" w:rsidRDefault="00DE57B1"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6DC2B923" w14:textId="624563F5"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1B188BBE" w14:textId="17B5B46B"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30D72FC9" w14:textId="4A50ED5D"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1DAEDD3B" w14:textId="2A7B189F" w:rsidR="0033063E" w:rsidRDefault="0033063E"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4F6C430F" w14:textId="77777777" w:rsidR="00AA0846" w:rsidRDefault="00AA0846" w:rsidP="00DE57B1">
      <w:pPr>
        <w:pStyle w:val="Akapitzlist"/>
        <w:tabs>
          <w:tab w:val="left" w:pos="284"/>
          <w:tab w:val="left" w:pos="1560"/>
        </w:tabs>
        <w:spacing w:before="120" w:after="120" w:line="23" w:lineRule="atLeast"/>
        <w:ind w:left="1353"/>
        <w:contextualSpacing w:val="0"/>
        <w:jc w:val="both"/>
        <w:rPr>
          <w:rFonts w:ascii="Franklin Gothic Book" w:eastAsiaTheme="minorHAnsi" w:hAnsi="Franklin Gothic Book" w:cs="Arial"/>
          <w:sz w:val="22"/>
          <w:szCs w:val="22"/>
        </w:rPr>
      </w:pPr>
    </w:p>
    <w:p w14:paraId="71AF586D" w14:textId="7D5ECC60" w:rsidR="00DE57B1" w:rsidRPr="0022575F" w:rsidRDefault="00DE57B1" w:rsidP="0022575F">
      <w:pPr>
        <w:tabs>
          <w:tab w:val="left" w:pos="284"/>
          <w:tab w:val="left" w:pos="1560"/>
        </w:tabs>
        <w:spacing w:before="120" w:after="120" w:line="23" w:lineRule="atLeast"/>
        <w:jc w:val="both"/>
        <w:rPr>
          <w:rFonts w:ascii="Franklin Gothic Book" w:hAnsi="Franklin Gothic Book" w:cs="Arial"/>
        </w:rPr>
      </w:pPr>
    </w:p>
    <w:p w14:paraId="32FC93F5" w14:textId="77777777" w:rsidR="008369AC" w:rsidRDefault="008369AC" w:rsidP="008369AC">
      <w:pPr>
        <w:pStyle w:val="Akapitzlist"/>
        <w:numPr>
          <w:ilvl w:val="0"/>
          <w:numId w:val="1"/>
        </w:numPr>
        <w:spacing w:before="120" w:after="120" w:line="23" w:lineRule="atLeast"/>
        <w:ind w:hanging="589"/>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b/>
          <w:color w:val="000000"/>
          <w:sz w:val="22"/>
          <w:szCs w:val="22"/>
        </w:rPr>
        <w:lastRenderedPageBreak/>
        <w:t>Wymagania jakościowe montażu i prefabrykacji</w:t>
      </w:r>
    </w:p>
    <w:p w14:paraId="1EC4E62A"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color w:val="000000"/>
          <w:sz w:val="22"/>
          <w:szCs w:val="22"/>
        </w:rPr>
        <w:t>Cięcie i ukosowanie</w:t>
      </w:r>
    </w:p>
    <w:p w14:paraId="02BE89AA" w14:textId="77777777" w:rsidR="008369AC" w:rsidRPr="008369AC" w:rsidRDefault="008369AC"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Przygotowanie złącza spawanego wg. normy PN-EN ISO 9692 dla ręcznego spawania łukowego, spawania łukowego elektrodą metalową w osłonie gazów, spawanie gazowe, spawanie metodą TIG i spawanie wiązką stali.</w:t>
      </w:r>
    </w:p>
    <w:p w14:paraId="62B3FF45"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w:t>
      </w:r>
    </w:p>
    <w:p w14:paraId="72D0A1C3" w14:textId="77777777" w:rsidR="00DE57B1" w:rsidRPr="00893A8F"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Proces spawania będzie realizowany w oparciu o zatwierdzone WPQR oraz WPS, kwalifikowane na podstawie normy PN-EN ISO 15614-1. Prace spawalnicze mogą wykonywać tylko spawacze z odpowiednimi, aktualnymi uprawnieniami zgodnie z normą PN EN ISO 9606. W celu zapewnienia wymaganej jakości procesu spawania nadzór spawalniczy musi spełniać wymagania norm PN-EN ISO 3834-2 i PN EN ISO 14731.</w:t>
      </w:r>
      <w:r>
        <w:rPr>
          <w:rFonts w:ascii="Franklin Gothic Book" w:hAnsi="Franklin Gothic Book" w:cstheme="minorHAnsi"/>
          <w:color w:val="000000"/>
          <w:sz w:val="22"/>
          <w:szCs w:val="22"/>
        </w:rPr>
        <w:t xml:space="preserve"> </w:t>
      </w:r>
      <w:r w:rsidRPr="00893A8F">
        <w:rPr>
          <w:rFonts w:ascii="Franklin Gothic Book" w:hAnsi="Franklin Gothic Book" w:cstheme="minorHAnsi"/>
          <w:color w:val="000000"/>
          <w:sz w:val="22"/>
          <w:szCs w:val="22"/>
        </w:rPr>
        <w:t xml:space="preserve">Wykonawca przed przystąpieniem do wykonywania prac spawalniczych, opracuje i przedstawi  Zamawiającemu Plan Spawania i Badań zgodnie z projektem wykonawczym oraz aktualnymi normami. </w:t>
      </w:r>
    </w:p>
    <w:p w14:paraId="48DA9CDE" w14:textId="77777777" w:rsidR="00DE57B1" w:rsidRPr="00893A8F"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Wykonawca prowadzi i udostępnia Zamawiającemu lub jego przedstawicielowi, zarówno na warsztacie lub w miejscu montażu, dokumentacje z rejestrem wszystkich spoin, przeglądów, kontroli i napraw spoin. Wykonawca systematycznie rejestruje wykonywane spoiny i na bieżąco uzupełnia dzienniki spawania oraz wykonuję niezbędne badania NDT. </w:t>
      </w:r>
    </w:p>
    <w:p w14:paraId="05C0C133" w14:textId="77777777" w:rsidR="00DE57B1" w:rsidRPr="0082091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Wykonawca jest odpowiedzialny za dobranie metody spawania, obróbki cieplnej oraz parametry spawania zgodnie z posiadanymi i zatwierdzonymi technologiami spawania WPS/WPQR.  </w:t>
      </w:r>
    </w:p>
    <w:p w14:paraId="4EC07F1E" w14:textId="77777777" w:rsidR="00DE57B1" w:rsidRPr="008369AC"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Pełen wykaz oraz technologie spawania WPS/WPQR dotyczących prefabrykacji oraz montażu, należy przekazać na 2 tygodnie przed przystąpieniem do prac w celu weryfikacji i akceptacji Zamawiającego.</w:t>
      </w:r>
    </w:p>
    <w:p w14:paraId="49D98793" w14:textId="451BB0E4" w:rsidR="00DE57B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Technologie spawania wykonane zgodnie z PN-EN ISO 15614, aktualnymi normami i przepisami, zatwierdzone przez jednostkę notyfikowaną - jeśli konieczne.</w:t>
      </w:r>
    </w:p>
    <w:p w14:paraId="525DE1A2" w14:textId="77777777" w:rsidR="00DE57B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p>
    <w:p w14:paraId="03BC012B" w14:textId="77777777" w:rsidR="00DE57B1" w:rsidRPr="008369AC" w:rsidRDefault="00DE57B1"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Spawanie tymczasowych mocowań</w:t>
      </w:r>
    </w:p>
    <w:p w14:paraId="5E859115" w14:textId="77777777" w:rsidR="00DE57B1" w:rsidRPr="00820911" w:rsidRDefault="00DE57B1"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Wymagania przy spawaniu tymczasowych mocowań powinny być takie same jak przy spawaniu głównych spoin. Do spawania mogą być dopuszczeni jedynie spawacze kwalifikowani zgodnie z powyższą definicją. Usuwanie tych mocowań będzie wykonywane przez szlifowanie do równa z powierzchną elementu.</w:t>
      </w:r>
    </w:p>
    <w:p w14:paraId="11104B74" w14:textId="25324164" w:rsidR="00DE57B1" w:rsidRPr="00930962" w:rsidRDefault="00DE57B1" w:rsidP="0022575F">
      <w:pPr>
        <w:spacing w:before="120" w:after="120" w:line="23" w:lineRule="atLeast"/>
        <w:ind w:left="1418"/>
        <w:jc w:val="both"/>
        <w:rPr>
          <w:rFonts w:ascii="Franklin Gothic Book" w:hAnsi="Franklin Gothic Book" w:cstheme="minorHAnsi"/>
          <w:color w:val="000000"/>
        </w:rPr>
      </w:pPr>
    </w:p>
    <w:p w14:paraId="60F69452"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Kwalifikacja spawacza i nadzór.</w:t>
      </w:r>
    </w:p>
    <w:p w14:paraId="113397DE" w14:textId="77777777" w:rsidR="00930962" w:rsidRPr="008369AC"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Spawacze, którym powierzono spawanie podczas montażu muszą przejść pomyślnie testy kwalifikacyjne związane z rodzajami </w:t>
      </w:r>
      <w:r w:rsidRPr="0026262A">
        <w:rPr>
          <w:rFonts w:ascii="Franklin Gothic Book" w:hAnsi="Franklin Gothic Book" w:cstheme="minorHAnsi"/>
          <w:color w:val="000000"/>
          <w:sz w:val="22"/>
          <w:szCs w:val="22"/>
        </w:rPr>
        <w:t>montażu. Wykonawca opracuje odrębną instrukcję technologiczną spawania dla testów kwalifikacyjnych,</w:t>
      </w:r>
      <w:r w:rsidRPr="008369AC">
        <w:rPr>
          <w:rFonts w:ascii="Franklin Gothic Book" w:hAnsi="Franklin Gothic Book" w:cstheme="minorHAnsi"/>
          <w:color w:val="000000"/>
          <w:sz w:val="22"/>
          <w:szCs w:val="22"/>
        </w:rPr>
        <w:t xml:space="preserve"> do akceptacji Zamawiającego. Technologia spawania dla testów kwalifikacyjnych odzwierciedla rodzaj wykonywanych złączy spawanych, materiał, pozycję spawania oraz metodę spawania podczas montażu. Spawacz z pozytywnym testem kwalifikacyjnym posiada podczas prowadzenia prac montażowych paszport spawacza oraz technologie spawania WPS do konkretnego zakresu prac. Wykonawca prowadzi i przedstawia Zamawiającemu dzienny wykaz spawaczy dopuszczonych do prac. Przedstawiane certyfikaty spawaczy musz</w:t>
      </w:r>
      <w:r>
        <w:rPr>
          <w:rFonts w:ascii="Franklin Gothic Book" w:hAnsi="Franklin Gothic Book" w:cstheme="minorHAnsi"/>
          <w:color w:val="000000"/>
          <w:sz w:val="22"/>
          <w:szCs w:val="22"/>
        </w:rPr>
        <w:t>ą</w:t>
      </w:r>
      <w:r w:rsidRPr="008369AC">
        <w:rPr>
          <w:rFonts w:ascii="Franklin Gothic Book" w:hAnsi="Franklin Gothic Book" w:cstheme="minorHAnsi"/>
          <w:color w:val="000000"/>
          <w:sz w:val="22"/>
          <w:szCs w:val="22"/>
        </w:rPr>
        <w:t xml:space="preserve"> </w:t>
      </w:r>
      <w:r>
        <w:rPr>
          <w:rFonts w:ascii="Franklin Gothic Book" w:hAnsi="Franklin Gothic Book" w:cstheme="minorHAnsi"/>
          <w:color w:val="000000"/>
          <w:sz w:val="22"/>
          <w:szCs w:val="22"/>
        </w:rPr>
        <w:t>być ważne.</w:t>
      </w:r>
    </w:p>
    <w:p w14:paraId="0355E7F5" w14:textId="77777777" w:rsidR="00930962" w:rsidRPr="008369AC"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Zamawiający nie ponosi ani nie zwraca kosztów kwalifikacji spawaczy. </w:t>
      </w:r>
    </w:p>
    <w:p w14:paraId="11B06059" w14:textId="77777777" w:rsidR="00930962" w:rsidRPr="008369AC"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 xml:space="preserve">Zaświadczenia kwalifikacyjne - paszport spawacza należy mieć dostępne do okazania Zamawiającemu. Jeśli w jakimkolwiek czasie w opinii Zamawiającego lub </w:t>
      </w:r>
      <w:r w:rsidRPr="008369AC">
        <w:rPr>
          <w:rFonts w:ascii="Franklin Gothic Book" w:hAnsi="Franklin Gothic Book" w:cstheme="minorHAnsi"/>
          <w:color w:val="000000"/>
          <w:sz w:val="22"/>
          <w:szCs w:val="22"/>
        </w:rPr>
        <w:lastRenderedPageBreak/>
        <w:t xml:space="preserve">jego przedstawiciela praca któregoś spawacza budzi wątpliwości, to od takiego spawacza będzie wymagane, aby poddał się dodatkowemu testowi kwalifikacyjnemu dla wykazania czy jest on zdolny do wykonywania prac, do których został zaangażowany. W przypadku rażących naruszeń wymagań, Zamawiający może odebrać paszport spawacza a tym samym anulować dopuszczenie do spawania. </w:t>
      </w:r>
    </w:p>
    <w:p w14:paraId="366CEE9B" w14:textId="77777777" w:rsidR="00930962" w:rsidRPr="00893A8F"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Spawacze wykonujący spoiny zobowiązani są do umieszczenia przydzielonych numerów spawacza na wykonanych spoinach w widocznym miejscu oraz daty spawania. Cecha spawacza (indywidualny numer) zostanie przypisana podczas testu kwalifikacyjnego. </w:t>
      </w:r>
    </w:p>
    <w:p w14:paraId="0C0A7399" w14:textId="77777777" w:rsidR="00930962" w:rsidRPr="00893A8F"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Podczas wykonywania prac spawalniczych spawacze są zobowiązani do posiadania i okazywania zatwierdzonych technologii spawania WPS oraz paszportu spawacza jak również posiadania niezbędnych narzędzi do wykonania prac </w:t>
      </w:r>
      <w:proofErr w:type="spellStart"/>
      <w:r w:rsidRPr="00893A8F">
        <w:rPr>
          <w:rFonts w:ascii="Franklin Gothic Book" w:hAnsi="Franklin Gothic Book" w:cstheme="minorHAnsi"/>
          <w:color w:val="000000"/>
          <w:sz w:val="22"/>
          <w:szCs w:val="22"/>
        </w:rPr>
        <w:t>tj.termokredka</w:t>
      </w:r>
      <w:proofErr w:type="spellEnd"/>
      <w:r w:rsidRPr="00893A8F">
        <w:rPr>
          <w:rFonts w:ascii="Franklin Gothic Book" w:hAnsi="Franklin Gothic Book" w:cstheme="minorHAnsi"/>
          <w:color w:val="000000"/>
          <w:sz w:val="22"/>
          <w:szCs w:val="22"/>
        </w:rPr>
        <w:t>, termometr, termos na elektrody itp.</w:t>
      </w:r>
    </w:p>
    <w:p w14:paraId="08016C68" w14:textId="77777777" w:rsidR="00930962" w:rsidRPr="00893A8F"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Wykonawca zape</w:t>
      </w:r>
      <w:r>
        <w:rPr>
          <w:rFonts w:ascii="Franklin Gothic Book" w:hAnsi="Franklin Gothic Book" w:cstheme="minorHAnsi"/>
          <w:color w:val="000000"/>
          <w:sz w:val="22"/>
          <w:szCs w:val="22"/>
        </w:rPr>
        <w:t>wni ciągły nadzór spawalniczy (I</w:t>
      </w:r>
      <w:r w:rsidRPr="00893A8F">
        <w:rPr>
          <w:rFonts w:ascii="Franklin Gothic Book" w:hAnsi="Franklin Gothic Book" w:cstheme="minorHAnsi"/>
          <w:color w:val="000000"/>
          <w:sz w:val="22"/>
          <w:szCs w:val="22"/>
        </w:rPr>
        <w:t>WE/EWE) nad prowadzonymi pracami montażowymi.</w:t>
      </w:r>
    </w:p>
    <w:p w14:paraId="39A8919F" w14:textId="77777777" w:rsidR="00930962" w:rsidRPr="00930962" w:rsidRDefault="00930962" w:rsidP="0022575F">
      <w:pPr>
        <w:spacing w:before="120" w:after="120" w:line="23" w:lineRule="atLeast"/>
        <w:ind w:left="1418"/>
        <w:jc w:val="both"/>
        <w:rPr>
          <w:rFonts w:ascii="Franklin Gothic Book" w:hAnsi="Franklin Gothic Book" w:cstheme="minorHAnsi"/>
          <w:color w:val="000000"/>
        </w:rPr>
      </w:pPr>
      <w:r w:rsidRPr="00930962">
        <w:rPr>
          <w:rFonts w:ascii="Franklin Gothic Book" w:hAnsi="Franklin Gothic Book" w:cstheme="minorHAnsi"/>
          <w:color w:val="000000"/>
        </w:rPr>
        <w:t>Wykonawca jest zobowiązany do przedstawienia w celu akceptacji procedury prowadzenia prac spawalniczych w niekorzystnych warunkach atmosferycznych tj. temperatura poniżej 5°C, opady atmosferyczne, wiatr.</w:t>
      </w:r>
    </w:p>
    <w:p w14:paraId="745029F0"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Podgrzewanie do spawania</w:t>
      </w:r>
    </w:p>
    <w:p w14:paraId="4265C2EA"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xml:space="preserve">Wykonawca będzie przestrzegał zapisów dotyczących temperatury podgrzewania i temperatury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określonych w WPS.</w:t>
      </w:r>
    </w:p>
    <w:p w14:paraId="54F3660B"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xml:space="preserve">Kontrola temperatury podgrzewania i </w:t>
      </w:r>
      <w:proofErr w:type="spellStart"/>
      <w:r w:rsidRPr="008369AC">
        <w:rPr>
          <w:rFonts w:ascii="Franklin Gothic Book" w:hAnsi="Franklin Gothic Book" w:cstheme="minorHAnsi"/>
          <w:color w:val="000000"/>
        </w:rPr>
        <w:t>międzyściegowej</w:t>
      </w:r>
      <w:proofErr w:type="spellEnd"/>
      <w:r w:rsidRPr="008369AC">
        <w:rPr>
          <w:rFonts w:ascii="Franklin Gothic Book" w:hAnsi="Franklin Gothic Book" w:cstheme="minorHAnsi"/>
          <w:color w:val="000000"/>
        </w:rPr>
        <w:t xml:space="preserve"> powinna odbywać się poprzez </w:t>
      </w:r>
      <w:proofErr w:type="spellStart"/>
      <w:r w:rsidRPr="008369AC">
        <w:rPr>
          <w:rFonts w:ascii="Franklin Gothic Book" w:hAnsi="Franklin Gothic Book" w:cstheme="minorHAnsi"/>
          <w:color w:val="000000"/>
        </w:rPr>
        <w:t>termokredki</w:t>
      </w:r>
      <w:proofErr w:type="spellEnd"/>
      <w:r w:rsidRPr="008369AC">
        <w:rPr>
          <w:rFonts w:ascii="Franklin Gothic Book" w:hAnsi="Franklin Gothic Book" w:cstheme="minorHAnsi"/>
          <w:color w:val="000000"/>
        </w:rPr>
        <w:t xml:space="preserve">, termometry stykowe, termopary lub inne urządzenia termo kontrolne. Wytyczne pomiaru temperatur wg. PN-EN ISO 13916.  </w:t>
      </w:r>
    </w:p>
    <w:p w14:paraId="189EA870"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Naprawy niezgodności spawalniczych</w:t>
      </w:r>
    </w:p>
    <w:p w14:paraId="19B08E82"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Stwierdzenie podczas badań NDT, niezgodności spawalniczych złączy spawanych zostaną udokumentowane oraz potwierdzone protokołem z badań. W celu zapobieżenia występowania niezgodności spawalniczych Wykonawca przedstawi Instrukcję Naprawy. Naprawa zostanie wykonana na podstawie zatwierdzonego WPS, przez spawaczy w wymaganymi uprawnieniami dla danego zakresu naprawy. Wszystkie naprawy niezgodności spawalniczych będą wykonywane pod ścisłym nadzorem spawalniczym. Dopuszcza się maksymalnie dwie naprawy tej samej spoiny. Po dwóch naprawach należy opracować oddzielny NCR oraz procedurę naprawy.</w:t>
      </w:r>
    </w:p>
    <w:p w14:paraId="2557BF16"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Badania nieniszczące spoin</w:t>
      </w:r>
    </w:p>
    <w:p w14:paraId="324A68C3"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Wykonawca przedstawi do zatwierdzenia Zamawiającemu Plan Kontroli i Badań (</w:t>
      </w:r>
      <w:proofErr w:type="spellStart"/>
      <w:r w:rsidRPr="008369AC">
        <w:rPr>
          <w:rFonts w:ascii="Franklin Gothic Book" w:hAnsi="Franklin Gothic Book" w:cstheme="minorHAnsi"/>
          <w:color w:val="000000"/>
        </w:rPr>
        <w:t>PKiB</w:t>
      </w:r>
      <w:proofErr w:type="spellEnd"/>
      <w:r w:rsidRPr="008369AC">
        <w:rPr>
          <w:rFonts w:ascii="Franklin Gothic Book" w:hAnsi="Franklin Gothic Book" w:cstheme="minorHAnsi"/>
          <w:color w:val="000000"/>
        </w:rPr>
        <w:t xml:space="preserve">/ITP) na 2 tygodnie przed rozpoczęciem prac dotyczy Prefabrykacji oraz Montażu. </w:t>
      </w:r>
    </w:p>
    <w:p w14:paraId="6BA1DC66" w14:textId="2F65344E" w:rsidR="008369AC" w:rsidRDefault="008369AC" w:rsidP="0022575F">
      <w:pPr>
        <w:spacing w:before="120" w:after="120" w:line="23" w:lineRule="atLeast"/>
        <w:ind w:left="1418"/>
        <w:jc w:val="both"/>
        <w:rPr>
          <w:rFonts w:ascii="Franklin Gothic Book" w:eastAsia="Times New Roman" w:hAnsi="Franklin Gothic Book" w:cstheme="minorHAnsi"/>
          <w:color w:val="000000"/>
          <w:lang w:eastAsia="pl-PL"/>
        </w:rPr>
      </w:pPr>
      <w:r w:rsidRPr="008369AC">
        <w:rPr>
          <w:rFonts w:ascii="Franklin Gothic Book" w:hAnsi="Franklin Gothic Book" w:cstheme="minorHAnsi"/>
          <w:color w:val="000000"/>
        </w:rPr>
        <w:t xml:space="preserve">Plan Kontroli i Badań zawiera wymagania projektowe, zgodne z aktualnym prawem i normami. Wykonawca jest zobowiązany do wykonywania badań NDT na bieżąco </w:t>
      </w:r>
      <w:r w:rsidRPr="008369AC">
        <w:rPr>
          <w:rFonts w:ascii="Franklin Gothic Book" w:eastAsia="Times New Roman" w:hAnsi="Franklin Gothic Book" w:cstheme="minorHAnsi"/>
          <w:color w:val="000000"/>
          <w:lang w:eastAsia="pl-PL"/>
        </w:rPr>
        <w:t xml:space="preserve">zgodnie z postępem prac montażowych wg. </w:t>
      </w:r>
      <w:proofErr w:type="spellStart"/>
      <w:r w:rsidRPr="008369AC">
        <w:rPr>
          <w:rFonts w:ascii="Franklin Gothic Book" w:eastAsia="Times New Roman" w:hAnsi="Franklin Gothic Book" w:cstheme="minorHAnsi"/>
          <w:color w:val="000000"/>
          <w:lang w:eastAsia="pl-PL"/>
        </w:rPr>
        <w:t>PKiB</w:t>
      </w:r>
      <w:proofErr w:type="spellEnd"/>
      <w:r w:rsidRPr="008369AC">
        <w:rPr>
          <w:rFonts w:ascii="Franklin Gothic Book" w:eastAsia="Times New Roman" w:hAnsi="Franklin Gothic Book" w:cstheme="minorHAnsi"/>
          <w:color w:val="000000"/>
          <w:lang w:eastAsia="pl-PL"/>
        </w:rPr>
        <w:t xml:space="preserve"> </w:t>
      </w:r>
    </w:p>
    <w:p w14:paraId="0FCF0D1E" w14:textId="0014D089" w:rsidR="00930962" w:rsidRPr="008369AC" w:rsidRDefault="003714C2" w:rsidP="003714C2">
      <w:pPr>
        <w:spacing w:before="120" w:after="120" w:line="23" w:lineRule="atLeast"/>
        <w:ind w:left="1418"/>
        <w:jc w:val="both"/>
        <w:rPr>
          <w:rFonts w:ascii="Franklin Gothic Book" w:eastAsia="Times New Roman" w:hAnsi="Franklin Gothic Book" w:cstheme="minorHAnsi"/>
          <w:color w:val="000000"/>
          <w:lang w:eastAsia="pl-PL"/>
        </w:rPr>
      </w:pPr>
      <w:r>
        <w:rPr>
          <w:rFonts w:ascii="Franklin Gothic Book" w:eastAsia="Times New Roman" w:hAnsi="Franklin Gothic Book" w:cstheme="minorHAnsi"/>
          <w:color w:val="000000"/>
          <w:lang w:eastAsia="pl-PL"/>
        </w:rPr>
        <w:t xml:space="preserve">Zakres badań równorzędny z normą PN EN ISO 1090 dla klasy wykonania EXC3 oraz spoiny uszy transportowych 100% PT/MT , spoiny gazoszczelne zakres badań 100% PT. </w:t>
      </w:r>
    </w:p>
    <w:p w14:paraId="14768589"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Magazynowanie materiałów dodatkowych do spawania</w:t>
      </w:r>
    </w:p>
    <w:p w14:paraId="21ED9C22"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xml:space="preserve">W celu zapewnienia prawidłowych zasad kontroli gospodarowania materiałami spawalniczymi Wykonawca przedstawi do zatwierdzenia procedurę zapewniającą </w:t>
      </w:r>
      <w:r w:rsidRPr="008369AC">
        <w:rPr>
          <w:rFonts w:ascii="Franklin Gothic Book" w:hAnsi="Franklin Gothic Book" w:cstheme="minorHAnsi"/>
          <w:color w:val="000000"/>
        </w:rPr>
        <w:lastRenderedPageBreak/>
        <w:t>poprawne magazynowanie identyfikację, wygrzewanie, suszenie i wydawanie materiałów dodatkowych do spawania.</w:t>
      </w:r>
    </w:p>
    <w:p w14:paraId="338B8324"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Wykonawca przed przystąpieniem do prac spawalniczych zapewni odpowiedni magazyn do składowania materiałów spawalniczych oraz przeprowadzi odbiór z Zamawiającym.</w:t>
      </w:r>
    </w:p>
    <w:p w14:paraId="0A32DE2A" w14:textId="52DE0030" w:rsid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 magazynie wymagana jest rejestracja warunków przechowywania materiałów spawalniczych tj. temperatura, wilgotność. Wykonawca prowadzi rejestr ilości wydawanych materiałów spawalniczych według cech spawaczy oraz na podstawie WPS-a. Materiały spawalnicze muszą być wyraźnie oznakowane w celu zapewnienia ich identyfikowalności. Wszelkie materiały dodatkowe, których nie można jednoznaczne zidentyfikować należy zutylizować.</w:t>
      </w:r>
    </w:p>
    <w:p w14:paraId="5D960CEE" w14:textId="77777777" w:rsidR="00930962" w:rsidRDefault="00930962" w:rsidP="0022575F">
      <w:pPr>
        <w:pStyle w:val="Akapitzlist"/>
        <w:numPr>
          <w:ilvl w:val="1"/>
          <w:numId w:val="1"/>
        </w:numPr>
        <w:tabs>
          <w:tab w:val="left" w:pos="1560"/>
        </w:tabs>
        <w:spacing w:before="120" w:after="120" w:line="23" w:lineRule="atLeast"/>
        <w:ind w:left="1418" w:hanging="283"/>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Sprzęt spawalniczy i kontrolno-pomiarowy</w:t>
      </w:r>
    </w:p>
    <w:p w14:paraId="607AEF49" w14:textId="77777777" w:rsidR="00930962" w:rsidRPr="0026262A"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sidRPr="00893A8F">
        <w:rPr>
          <w:rFonts w:ascii="Franklin Gothic Book" w:hAnsi="Franklin Gothic Book" w:cstheme="minorHAnsi"/>
          <w:color w:val="000000"/>
          <w:sz w:val="22"/>
          <w:szCs w:val="22"/>
        </w:rPr>
        <w:t xml:space="preserve">Wykonawca jest zobowiązany do przedstawienia Zamawiającemu aktualnego wykazu dokumentów z walidacji urządzeń kontrolno-pomiarowych, spawalniczych w tym </w:t>
      </w:r>
      <w:proofErr w:type="spellStart"/>
      <w:r w:rsidRPr="00893A8F">
        <w:rPr>
          <w:rFonts w:ascii="Franklin Gothic Book" w:hAnsi="Franklin Gothic Book" w:cstheme="minorHAnsi"/>
          <w:color w:val="000000"/>
          <w:sz w:val="22"/>
          <w:szCs w:val="22"/>
        </w:rPr>
        <w:t>wyżarzarek</w:t>
      </w:r>
      <w:proofErr w:type="spellEnd"/>
      <w:r w:rsidRPr="00893A8F">
        <w:rPr>
          <w:rFonts w:ascii="Franklin Gothic Book" w:hAnsi="Franklin Gothic Book" w:cstheme="minorHAnsi"/>
          <w:color w:val="000000"/>
          <w:sz w:val="22"/>
          <w:szCs w:val="22"/>
        </w:rPr>
        <w:t xml:space="preserve">, termosów oraz pieców do przechowywania elektrod. </w:t>
      </w:r>
    </w:p>
    <w:p w14:paraId="7FC6777E" w14:textId="77777777" w:rsidR="008369AC" w:rsidRPr="008369AC" w:rsidRDefault="008369AC"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sidRPr="008369AC">
        <w:rPr>
          <w:rFonts w:ascii="Franklin Gothic Book" w:hAnsi="Franklin Gothic Book" w:cstheme="minorHAnsi"/>
          <w:color w:val="000000"/>
          <w:sz w:val="22"/>
          <w:szCs w:val="22"/>
        </w:rPr>
        <w:t>Pozostałe wymagania jakościowe</w:t>
      </w:r>
    </w:p>
    <w:p w14:paraId="7BE30B4A" w14:textId="77777777" w:rsidR="008369AC" w:rsidRPr="008369AC" w:rsidRDefault="008369AC" w:rsidP="0022575F">
      <w:pPr>
        <w:spacing w:before="120" w:after="120" w:line="23" w:lineRule="atLeast"/>
        <w:ind w:left="1418" w:firstLine="397"/>
        <w:jc w:val="both"/>
        <w:rPr>
          <w:rFonts w:ascii="Franklin Gothic Book" w:hAnsi="Franklin Gothic Book" w:cstheme="minorHAnsi"/>
          <w:color w:val="000000"/>
        </w:rPr>
      </w:pPr>
      <w:r w:rsidRPr="008369AC">
        <w:rPr>
          <w:rFonts w:ascii="Franklin Gothic Book" w:hAnsi="Franklin Gothic Book" w:cstheme="minorHAnsi"/>
          <w:color w:val="000000"/>
        </w:rPr>
        <w:t>Wykonawca zapewni całość wykonawstwa, materiałów  i sprzętu najlepszej jakości.</w:t>
      </w:r>
    </w:p>
    <w:p w14:paraId="50351316"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Pełne zabezpieczenie antykorozyjne ma być wykonane finalnie u dostawcy elementu/urządzenia i w takim stanie dostarczone na miejsce montażu.</w:t>
      </w:r>
    </w:p>
    <w:p w14:paraId="1F2A20EA"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 przypadku gdy, z powodu technologii wykonania bądź montażu nie ma możliwości pełnego zabezpieczenia, należy stosować środki ochrony czasowej.</w:t>
      </w:r>
    </w:p>
    <w:p w14:paraId="2E3D7665"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Wykonawca użyje materiałów zabezpieczających tylko od jednego Dostawcy farb dla tego samego rodzaju konstrukcji.</w:t>
      </w:r>
    </w:p>
    <w:p w14:paraId="06F3BBD0"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Po zakończeniu montażu należy wykonać uzupełnienie zabezpieczenia antykorozyjnego:</w:t>
      </w:r>
    </w:p>
    <w:p w14:paraId="4F78DA1A"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-w miejscach uszkodzonych w czasie transportu i operacji montażowych,</w:t>
      </w:r>
    </w:p>
    <w:p w14:paraId="6A53F27B"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w miejscach celowo pozostawionych jako nie zabezpieczone,</w:t>
      </w:r>
    </w:p>
    <w:p w14:paraId="318A4D20"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 w miejscach spoin montażowych</w:t>
      </w:r>
    </w:p>
    <w:p w14:paraId="1BD4B590" w14:textId="1920BC2A" w:rsidR="00930962" w:rsidRDefault="008369AC" w:rsidP="0022575F">
      <w:pPr>
        <w:spacing w:before="120" w:after="120" w:line="23" w:lineRule="atLeast"/>
        <w:ind w:left="1418"/>
        <w:jc w:val="both"/>
        <w:rPr>
          <w:rFonts w:ascii="Franklin Gothic Book" w:hAnsi="Franklin Gothic Book" w:cstheme="minorHAnsi"/>
          <w:color w:val="000000"/>
        </w:rPr>
      </w:pPr>
      <w:r w:rsidRPr="008369AC">
        <w:rPr>
          <w:rFonts w:ascii="Franklin Gothic Book" w:hAnsi="Franklin Gothic Book" w:cstheme="minorHAnsi"/>
          <w:color w:val="000000"/>
        </w:rPr>
        <w:t>Nieakceptowalne są wady powłok w tym: przeciągnięcia, zacieki, suche natryski, ciała obce, przebarwienia.</w:t>
      </w:r>
    </w:p>
    <w:p w14:paraId="17DF5CB8" w14:textId="77777777" w:rsidR="00EE3633" w:rsidRDefault="00EE3633" w:rsidP="0022575F">
      <w:pPr>
        <w:spacing w:before="120" w:after="120" w:line="23" w:lineRule="atLeast"/>
        <w:ind w:left="1418"/>
        <w:jc w:val="both"/>
        <w:rPr>
          <w:rFonts w:ascii="Franklin Gothic Book" w:hAnsi="Franklin Gothic Book" w:cstheme="minorHAnsi"/>
          <w:color w:val="000000"/>
        </w:rPr>
      </w:pPr>
    </w:p>
    <w:p w14:paraId="595A4EE3" w14:textId="62AE1EE8" w:rsidR="00930962" w:rsidRDefault="00930962" w:rsidP="0022575F">
      <w:pPr>
        <w:pStyle w:val="Akapitzlist"/>
        <w:numPr>
          <w:ilvl w:val="1"/>
          <w:numId w:val="1"/>
        </w:numPr>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Wykaz dokumentów do przekazania Zamawiającemu na 2 tygodnie przed przystąpieniem do prac:</w:t>
      </w:r>
    </w:p>
    <w:p w14:paraId="4CE48E63" w14:textId="0D87668B" w:rsidR="00930962" w:rsidRDefault="009E6367"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-D</w:t>
      </w:r>
      <w:r w:rsidR="00930962">
        <w:rPr>
          <w:rFonts w:ascii="Franklin Gothic Book" w:hAnsi="Franklin Gothic Book" w:cstheme="minorHAnsi"/>
          <w:color w:val="000000"/>
          <w:sz w:val="22"/>
          <w:szCs w:val="22"/>
        </w:rPr>
        <w:t>okumentacja rysunkowa</w:t>
      </w:r>
    </w:p>
    <w:p w14:paraId="7086BC4F" w14:textId="2A2B99E2" w:rsid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-Plan Kontroli i Badań</w:t>
      </w:r>
    </w:p>
    <w:p w14:paraId="1EB9D222" w14:textId="0D010D7A" w:rsidR="009E6367" w:rsidRPr="009E6367" w:rsidRDefault="009E6367"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 xml:space="preserve">-Wykaz WPS i WPQR </w:t>
      </w:r>
    </w:p>
    <w:p w14:paraId="2BDE43D8" w14:textId="7EE42398" w:rsid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 xml:space="preserve">-Plany spawania </w:t>
      </w:r>
    </w:p>
    <w:p w14:paraId="11368CBC" w14:textId="7C6EC02F" w:rsid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-Wykaz personelu spawalniczego oraz NDT</w:t>
      </w:r>
    </w:p>
    <w:p w14:paraId="3FCFB420" w14:textId="0B83A621" w:rsidR="009E6367" w:rsidRDefault="009E6367"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-Wzory dokumentów do uzgodnienia</w:t>
      </w:r>
    </w:p>
    <w:p w14:paraId="1144976D" w14:textId="26A6F413" w:rsidR="00930962" w:rsidRPr="00930962" w:rsidRDefault="00930962" w:rsidP="0022575F">
      <w:pPr>
        <w:pStyle w:val="Akapitzlist"/>
        <w:spacing w:before="120" w:after="120" w:line="23" w:lineRule="atLeast"/>
        <w:ind w:left="1418"/>
        <w:contextualSpacing w:val="0"/>
        <w:jc w:val="both"/>
        <w:rPr>
          <w:rFonts w:ascii="Franklin Gothic Book" w:hAnsi="Franklin Gothic Book" w:cstheme="minorHAnsi"/>
          <w:color w:val="000000"/>
          <w:sz w:val="22"/>
          <w:szCs w:val="22"/>
        </w:rPr>
      </w:pPr>
      <w:r>
        <w:rPr>
          <w:rFonts w:ascii="Franklin Gothic Book" w:hAnsi="Franklin Gothic Book" w:cstheme="minorHAnsi"/>
          <w:color w:val="000000"/>
          <w:sz w:val="22"/>
          <w:szCs w:val="22"/>
        </w:rPr>
        <w:t>-Wykaz urządzeń spawalniczych i kontrolno-pomiarowych wraz z potwierdzeniem walidacji/ kalibracji</w:t>
      </w:r>
    </w:p>
    <w:p w14:paraId="449E2033" w14:textId="2AD8C716" w:rsidR="008369AC" w:rsidRPr="00D024D2" w:rsidRDefault="00D024D2" w:rsidP="0022575F">
      <w:pPr>
        <w:spacing w:before="120" w:after="120" w:line="23" w:lineRule="atLeast"/>
        <w:ind w:left="1418"/>
        <w:jc w:val="both"/>
        <w:rPr>
          <w:rFonts w:ascii="Franklin Gothic Book" w:hAnsi="Franklin Gothic Book" w:cstheme="minorHAnsi"/>
          <w:color w:val="000000"/>
        </w:rPr>
      </w:pPr>
      <w:r>
        <w:rPr>
          <w:rFonts w:ascii="Franklin Gothic Book" w:hAnsi="Franklin Gothic Book" w:cstheme="minorHAnsi"/>
          <w:color w:val="000000"/>
        </w:rPr>
        <w:t xml:space="preserve"> </w:t>
      </w:r>
    </w:p>
    <w:p w14:paraId="19B25CB5" w14:textId="77777777" w:rsidR="008369AC" w:rsidRPr="008369AC" w:rsidRDefault="008369AC" w:rsidP="0022575F">
      <w:pPr>
        <w:spacing w:before="120" w:after="120" w:line="23" w:lineRule="atLeast"/>
        <w:ind w:left="1418"/>
        <w:jc w:val="both"/>
        <w:rPr>
          <w:rFonts w:ascii="Franklin Gothic Book" w:hAnsi="Franklin Gothic Book" w:cstheme="minorHAnsi"/>
          <w:color w:val="000000"/>
        </w:rPr>
      </w:pPr>
    </w:p>
    <w:p w14:paraId="6A9B5C73" w14:textId="77777777" w:rsidR="008369AC" w:rsidRDefault="008369AC" w:rsidP="008369AC">
      <w:pPr>
        <w:pStyle w:val="Akapitzlist"/>
        <w:numPr>
          <w:ilvl w:val="0"/>
          <w:numId w:val="1"/>
        </w:numPr>
        <w:spacing w:before="120" w:after="120" w:line="23" w:lineRule="atLeast"/>
        <w:ind w:hanging="589"/>
        <w:contextualSpacing w:val="0"/>
        <w:jc w:val="both"/>
        <w:rPr>
          <w:rFonts w:ascii="Franklin Gothic Book" w:hAnsi="Franklin Gothic Book" w:cstheme="minorHAnsi"/>
          <w:b/>
          <w:color w:val="000000"/>
          <w:sz w:val="22"/>
          <w:szCs w:val="22"/>
        </w:rPr>
      </w:pPr>
      <w:r w:rsidRPr="008369AC">
        <w:rPr>
          <w:rFonts w:ascii="Franklin Gothic Book" w:hAnsi="Franklin Gothic Book" w:cstheme="minorHAnsi"/>
          <w:b/>
          <w:color w:val="000000"/>
          <w:sz w:val="22"/>
          <w:szCs w:val="22"/>
        </w:rPr>
        <w:lastRenderedPageBreak/>
        <w:t>Zabezpieczenie</w:t>
      </w:r>
      <w:r>
        <w:rPr>
          <w:rFonts w:ascii="Franklin Gothic Book" w:hAnsi="Franklin Gothic Book" w:cstheme="minorHAnsi"/>
          <w:b/>
          <w:color w:val="000000"/>
          <w:sz w:val="22"/>
          <w:szCs w:val="22"/>
        </w:rPr>
        <w:t xml:space="preserve"> antykorozyjne</w:t>
      </w:r>
      <w:r w:rsidRPr="008369AC">
        <w:rPr>
          <w:rFonts w:ascii="Franklin Gothic Book" w:hAnsi="Franklin Gothic Book" w:cstheme="minorHAnsi"/>
          <w:b/>
          <w:color w:val="000000"/>
          <w:sz w:val="22"/>
          <w:szCs w:val="22"/>
        </w:rPr>
        <w:t xml:space="preserve"> i malowanie</w:t>
      </w:r>
    </w:p>
    <w:p w14:paraId="653699AB" w14:textId="77777777" w:rsidR="008369AC" w:rsidRPr="008369AC" w:rsidRDefault="008369AC" w:rsidP="0022575F">
      <w:pPr>
        <w:spacing w:before="120" w:after="120" w:line="23" w:lineRule="atLeast"/>
        <w:ind w:left="1440"/>
        <w:jc w:val="both"/>
        <w:rPr>
          <w:rFonts w:ascii="Franklin Gothic Book" w:hAnsi="Franklin Gothic Book" w:cstheme="minorHAnsi"/>
          <w:b/>
          <w:color w:val="000000"/>
        </w:rPr>
      </w:pPr>
      <w:r w:rsidRPr="008369AC">
        <w:rPr>
          <w:rFonts w:ascii="Franklin Gothic Book" w:hAnsi="Franklin Gothic Book" w:cstheme="minorHAnsi"/>
          <w:color w:val="000000"/>
        </w:rPr>
        <w:t>Technologie malowania</w:t>
      </w:r>
    </w:p>
    <w:p w14:paraId="7AB2128E" w14:textId="74143871" w:rsidR="008369AC" w:rsidRPr="008369AC" w:rsidRDefault="008369AC" w:rsidP="0022575F">
      <w:pPr>
        <w:spacing w:before="120" w:after="120" w:line="23" w:lineRule="atLeast"/>
        <w:ind w:left="1440"/>
        <w:jc w:val="both"/>
        <w:rPr>
          <w:rFonts w:ascii="Franklin Gothic Book" w:hAnsi="Franklin Gothic Book" w:cstheme="minorHAnsi"/>
          <w:color w:val="000000"/>
        </w:rPr>
      </w:pPr>
      <w:r w:rsidRPr="008369AC">
        <w:rPr>
          <w:rFonts w:ascii="Franklin Gothic Book" w:hAnsi="Franklin Gothic Book" w:cstheme="minorHAnsi"/>
          <w:color w:val="000000"/>
        </w:rPr>
        <w:t>Wykonawca przedłoży Zamawiającemu pełną propozycję systemów zabezpieczeń</w:t>
      </w:r>
      <w:r w:rsidR="00BE1465">
        <w:rPr>
          <w:rFonts w:ascii="Franklin Gothic Book" w:hAnsi="Franklin Gothic Book" w:cstheme="minorHAnsi"/>
          <w:color w:val="000000"/>
        </w:rPr>
        <w:t xml:space="preserve"> antykorozyjnych</w:t>
      </w:r>
      <w:r w:rsidRPr="008369AC">
        <w:rPr>
          <w:rFonts w:ascii="Franklin Gothic Book" w:hAnsi="Franklin Gothic Book" w:cstheme="minorHAnsi"/>
          <w:color w:val="000000"/>
        </w:rPr>
        <w:t>.</w:t>
      </w:r>
      <w:r w:rsidR="00D024D2" w:rsidRPr="00D024D2">
        <w:rPr>
          <w:rFonts w:ascii="Franklin Gothic Book" w:hAnsi="Franklin Gothic Book" w:cstheme="minorHAnsi"/>
          <w:color w:val="000000"/>
        </w:rPr>
        <w:t xml:space="preserve"> Personel wykonujący prace powinien być wykwalifikowany i posiadać</w:t>
      </w:r>
      <w:r w:rsidR="00D024D2">
        <w:rPr>
          <w:rFonts w:ascii="Franklin Gothic Book" w:hAnsi="Franklin Gothic Book" w:cstheme="minorHAnsi"/>
          <w:color w:val="000000"/>
        </w:rPr>
        <w:t xml:space="preserve"> </w:t>
      </w:r>
      <w:r w:rsidR="00D024D2" w:rsidRPr="00D024D2">
        <w:rPr>
          <w:rFonts w:ascii="Franklin Gothic Book" w:hAnsi="Franklin Gothic Book" w:cstheme="minorHAnsi"/>
          <w:color w:val="000000"/>
        </w:rPr>
        <w:t>odpowiednie narzędzia</w:t>
      </w:r>
      <w:r w:rsidR="00D024D2">
        <w:rPr>
          <w:rFonts w:ascii="Franklin Gothic Book" w:hAnsi="Franklin Gothic Book" w:cstheme="minorHAnsi"/>
          <w:color w:val="000000"/>
        </w:rPr>
        <w:t>.</w:t>
      </w:r>
      <w:r w:rsidRPr="008369AC">
        <w:rPr>
          <w:rFonts w:ascii="Franklin Gothic Book" w:hAnsi="Franklin Gothic Book" w:cstheme="minorHAnsi"/>
          <w:color w:val="000000"/>
        </w:rPr>
        <w:t xml:space="preserve"> Wykonawca dostarczy procedurę do wykonywania  powłoki antykorozyjnej wraz z procedurą naprawy powłoki antykorozyjnej. Wykonawca powinien dostarczyć Zamawiającemu następującą informacje:</w:t>
      </w:r>
    </w:p>
    <w:p w14:paraId="1C7EBED5" w14:textId="35019DA7" w:rsidR="008369AC" w:rsidRDefault="00A41AB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Pr>
          <w:rFonts w:ascii="Franklin Gothic Book" w:hAnsi="Franklin Gothic Book" w:cstheme="minorHAnsi"/>
          <w:color w:val="000000"/>
        </w:rPr>
        <w:t>Z</w:t>
      </w:r>
      <w:r w:rsidR="008369AC" w:rsidRPr="009E6367">
        <w:rPr>
          <w:rFonts w:ascii="Franklin Gothic Book" w:hAnsi="Franklin Gothic Book" w:cstheme="minorHAnsi"/>
          <w:color w:val="000000"/>
        </w:rPr>
        <w:t>amierzony cel (elementy, które mają być zabezpieczone, zakres temperatur);</w:t>
      </w:r>
    </w:p>
    <w:p w14:paraId="1A09E577"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56BC4ED" w14:textId="08B4B8E3" w:rsidR="008369AC" w:rsidRDefault="00A41AB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Pr>
          <w:rFonts w:ascii="Franklin Gothic Book" w:hAnsi="Franklin Gothic Book" w:cstheme="minorHAnsi"/>
          <w:color w:val="000000"/>
        </w:rPr>
        <w:t>P</w:t>
      </w:r>
      <w:r w:rsidR="008369AC" w:rsidRPr="009E6367">
        <w:rPr>
          <w:rFonts w:ascii="Franklin Gothic Book" w:hAnsi="Franklin Gothic Book" w:cstheme="minorHAnsi"/>
          <w:color w:val="000000"/>
        </w:rPr>
        <w:t>rzygotowanie powierzchni, powłoki nakładane na warsztacie, procedura nakładania, powłoki nakładane w miejscu montażu, grubość, metody malarskie (pędzel, natrysk), kontrole prowadzone na warsztacie i w miejscu montażu;</w:t>
      </w:r>
    </w:p>
    <w:p w14:paraId="182587DA"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0F2EB90" w14:textId="59F43ED9" w:rsidR="00D024D2" w:rsidRDefault="00D024D2"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Wszystkie prace powinny być nadzorowane oraz odebrane przez inspektora,</w:t>
      </w:r>
      <w:r w:rsidR="009E6367">
        <w:rPr>
          <w:rFonts w:ascii="Franklin Gothic Book" w:hAnsi="Franklin Gothic Book" w:cstheme="minorHAnsi"/>
          <w:color w:val="000000"/>
        </w:rPr>
        <w:t xml:space="preserve"> </w:t>
      </w:r>
      <w:r w:rsidRPr="009E6367">
        <w:rPr>
          <w:rFonts w:ascii="Franklin Gothic Book" w:hAnsi="Franklin Gothic Book" w:cstheme="minorHAnsi"/>
          <w:color w:val="000000"/>
        </w:rPr>
        <w:t>jeśli nie osiągnięto specyfikowanego stopnia przygotowania podłoża należy</w:t>
      </w:r>
      <w:r w:rsidR="009E6367">
        <w:rPr>
          <w:rFonts w:ascii="Franklin Gothic Book" w:hAnsi="Franklin Gothic Book" w:cstheme="minorHAnsi"/>
          <w:color w:val="000000"/>
        </w:rPr>
        <w:t xml:space="preserve"> </w:t>
      </w:r>
      <w:r w:rsidRPr="009E6367">
        <w:rPr>
          <w:rFonts w:ascii="Franklin Gothic Book" w:hAnsi="Franklin Gothic Book" w:cstheme="minorHAnsi"/>
          <w:color w:val="000000"/>
        </w:rPr>
        <w:t>powtórzyć proces obróbki.</w:t>
      </w:r>
    </w:p>
    <w:p w14:paraId="0A1BF3CF"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526E7FE1" w14:textId="3C6927B9" w:rsidR="008369AC" w:rsidRDefault="00D024D2"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P</w:t>
      </w:r>
      <w:r w:rsidR="008369AC" w:rsidRPr="009E6367">
        <w:rPr>
          <w:rFonts w:ascii="Franklin Gothic Book" w:hAnsi="Franklin Gothic Book" w:cstheme="minorHAnsi"/>
          <w:color w:val="000000"/>
        </w:rPr>
        <w:t>aszport dla każdej warstwy malarskiej (techniczny i bezpieczeństwa).</w:t>
      </w:r>
    </w:p>
    <w:p w14:paraId="2649776F" w14:textId="77777777" w:rsidR="00A41ABC" w:rsidRPr="00A41ABC" w:rsidRDefault="00A41ABC" w:rsidP="0022575F">
      <w:pPr>
        <w:pStyle w:val="Akapitzlist"/>
        <w:ind w:left="1440"/>
        <w:rPr>
          <w:rFonts w:ascii="Franklin Gothic Book" w:hAnsi="Franklin Gothic Book" w:cstheme="minorHAnsi"/>
          <w:color w:val="000000"/>
        </w:rPr>
      </w:pPr>
    </w:p>
    <w:p w14:paraId="742CB506" w14:textId="5D1D8625" w:rsidR="008369AC" w:rsidRDefault="008369A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Przedłożone technologie malowania dla części metalowych będą dostosowane do specyfiki warunków pracy urządzenia i konstrukcji (klasyfikacji środowiska korozyjnego wg</w:t>
      </w:r>
      <w:r w:rsidR="000B29D7" w:rsidRPr="009E6367">
        <w:rPr>
          <w:rFonts w:ascii="Franklin Gothic Book" w:hAnsi="Franklin Gothic Book" w:cstheme="minorHAnsi"/>
          <w:color w:val="000000"/>
        </w:rPr>
        <w:t>.</w:t>
      </w:r>
      <w:r w:rsidRPr="009E6367">
        <w:rPr>
          <w:rFonts w:ascii="Franklin Gothic Book" w:hAnsi="Franklin Gothic Book" w:cstheme="minorHAnsi"/>
          <w:color w:val="000000"/>
        </w:rPr>
        <w:t xml:space="preserve"> ISO</w:t>
      </w:r>
      <w:r w:rsidR="000B29D7" w:rsidRPr="009E6367">
        <w:rPr>
          <w:rFonts w:ascii="Franklin Gothic Book" w:hAnsi="Franklin Gothic Book" w:cstheme="minorHAnsi"/>
          <w:color w:val="000000"/>
        </w:rPr>
        <w:t xml:space="preserve"> </w:t>
      </w:r>
      <w:r w:rsidRPr="009E6367">
        <w:rPr>
          <w:rFonts w:ascii="Franklin Gothic Book" w:hAnsi="Franklin Gothic Book" w:cstheme="minorHAnsi"/>
          <w:color w:val="000000"/>
        </w:rPr>
        <w:t xml:space="preserve">12944-2). </w:t>
      </w:r>
    </w:p>
    <w:p w14:paraId="50B026B0"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7229A2A9" w14:textId="10C90156" w:rsidR="008369AC" w:rsidRDefault="008369A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Systemy malarskie musz</w:t>
      </w:r>
      <w:r w:rsidR="003A161C" w:rsidRPr="009E6367">
        <w:rPr>
          <w:rFonts w:ascii="Franklin Gothic Book" w:hAnsi="Franklin Gothic Book" w:cstheme="minorHAnsi"/>
          <w:color w:val="000000"/>
        </w:rPr>
        <w:t>ą</w:t>
      </w:r>
      <w:r w:rsidRPr="009E6367">
        <w:rPr>
          <w:rFonts w:ascii="Franklin Gothic Book" w:hAnsi="Franklin Gothic Book" w:cstheme="minorHAnsi"/>
          <w:color w:val="000000"/>
        </w:rPr>
        <w:t xml:space="preserve"> odpowiadać klasie korozyjności występującej na danym zakresie robót.</w:t>
      </w:r>
    </w:p>
    <w:p w14:paraId="0A44FA17"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252146C" w14:textId="068E3845" w:rsidR="008369AC" w:rsidRPr="009E6367" w:rsidRDefault="008369A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Dostarczane elementy muszą posiadać odpowiednie zabezpieczenie antykorozyjne na czas transportu, magazynowania i montażu.</w:t>
      </w:r>
    </w:p>
    <w:p w14:paraId="04B59178" w14:textId="27F3BF2A" w:rsidR="00D024D2" w:rsidRDefault="00A41ABC"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Pr>
          <w:rFonts w:ascii="Franklin Gothic Book" w:hAnsi="Franklin Gothic Book" w:cstheme="minorHAnsi"/>
          <w:color w:val="000000"/>
        </w:rPr>
        <w:t>Z</w:t>
      </w:r>
      <w:r w:rsidR="00CC230E" w:rsidRPr="009E6367">
        <w:rPr>
          <w:rFonts w:ascii="Franklin Gothic Book" w:hAnsi="Franklin Gothic Book" w:cstheme="minorHAnsi"/>
          <w:color w:val="000000"/>
        </w:rPr>
        <w:t>abezpieczenie antykor</w:t>
      </w:r>
      <w:r w:rsidR="000B29D7" w:rsidRPr="009E6367">
        <w:rPr>
          <w:rFonts w:ascii="Franklin Gothic Book" w:hAnsi="Franklin Gothic Book" w:cstheme="minorHAnsi"/>
          <w:color w:val="000000"/>
        </w:rPr>
        <w:t xml:space="preserve">ozyjne dla klasy korozyjności co najmniej </w:t>
      </w:r>
      <w:r w:rsidR="004E0112" w:rsidRPr="00A504CF">
        <w:rPr>
          <w:rFonts w:ascii="Franklin Gothic Book" w:hAnsi="Franklin Gothic Book" w:cstheme="minorHAnsi"/>
          <w:color w:val="00B050"/>
        </w:rPr>
        <w:t>C3</w:t>
      </w:r>
      <w:r w:rsidR="00A504CF">
        <w:rPr>
          <w:rFonts w:ascii="Franklin Gothic Book" w:hAnsi="Franklin Gothic Book" w:cstheme="minorHAnsi"/>
          <w:color w:val="00B050"/>
        </w:rPr>
        <w:t xml:space="preserve"> </w:t>
      </w:r>
      <w:r w:rsidR="000B29D7" w:rsidRPr="009E6367">
        <w:rPr>
          <w:rFonts w:ascii="Franklin Gothic Book" w:hAnsi="Franklin Gothic Book" w:cstheme="minorHAnsi"/>
          <w:color w:val="000000"/>
        </w:rPr>
        <w:t>wg. EN ISO 12944</w:t>
      </w:r>
      <w:r w:rsidR="00CC230E" w:rsidRPr="009E6367">
        <w:rPr>
          <w:rFonts w:ascii="Franklin Gothic Book" w:hAnsi="Franklin Gothic Book" w:cstheme="minorHAnsi"/>
          <w:color w:val="000000"/>
        </w:rPr>
        <w:t>.</w:t>
      </w:r>
    </w:p>
    <w:p w14:paraId="526FFEBC"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67A42BDF" w14:textId="2D8C561B" w:rsidR="00D024D2" w:rsidRDefault="00BE146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Nominalna grubość powłoki suchej min. 250µm</w:t>
      </w:r>
      <w:r w:rsidR="00360785" w:rsidRPr="009E6367">
        <w:rPr>
          <w:rFonts w:ascii="Franklin Gothic Book" w:hAnsi="Franklin Gothic Book" w:cstheme="minorHAnsi"/>
          <w:color w:val="000000"/>
        </w:rPr>
        <w:t>.</w:t>
      </w:r>
    </w:p>
    <w:p w14:paraId="7BD01230" w14:textId="77777777"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4C52DDF8" w14:textId="23C60B38" w:rsidR="00D024D2"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Okres trwałości powłok antykorozyjnych H wg. EN ISO 12944.</w:t>
      </w:r>
    </w:p>
    <w:p w14:paraId="7FA91BFC" w14:textId="41190C4A" w:rsidR="00A41ABC" w:rsidRPr="009E6367" w:rsidRDefault="00A41ABC" w:rsidP="0022575F">
      <w:pPr>
        <w:pStyle w:val="Akapitzlist"/>
        <w:spacing w:before="120" w:after="120" w:line="23" w:lineRule="atLeast"/>
        <w:ind w:left="1440"/>
        <w:jc w:val="both"/>
        <w:rPr>
          <w:rFonts w:ascii="Franklin Gothic Book" w:hAnsi="Franklin Gothic Book" w:cstheme="minorHAnsi"/>
          <w:color w:val="000000"/>
        </w:rPr>
      </w:pPr>
    </w:p>
    <w:p w14:paraId="55FF5456" w14:textId="615FA629" w:rsidR="00D024D2"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Elementy konstrukcji, które mogą być narażone na korozję i nie będą</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dostępne po złożeniu konstrukcji powinny być zabezpieczone w odpowiedni</w:t>
      </w:r>
      <w:r w:rsidR="009E6367" w:rsidRPr="00A41ABC">
        <w:rPr>
          <w:rFonts w:ascii="Franklin Gothic Book" w:hAnsi="Franklin Gothic Book" w:cstheme="minorHAnsi"/>
          <w:color w:val="000000"/>
        </w:rPr>
        <w:t xml:space="preserve"> </w:t>
      </w:r>
      <w:r w:rsidRPr="00A41ABC">
        <w:rPr>
          <w:rFonts w:ascii="Franklin Gothic Book" w:hAnsi="Franklin Gothic Book" w:cstheme="minorHAnsi"/>
          <w:color w:val="000000"/>
        </w:rPr>
        <w:t>sposób tak, aby zapewnić odpowiednią wydajność systemu antykorozyjnego.</w:t>
      </w:r>
    </w:p>
    <w:p w14:paraId="552CAD70" w14:textId="77777777" w:rsidR="00D024D2" w:rsidRPr="009E6367" w:rsidRDefault="00D024D2" w:rsidP="0022575F">
      <w:pPr>
        <w:pStyle w:val="Akapitzlist"/>
        <w:spacing w:before="120" w:after="120" w:line="23" w:lineRule="atLeast"/>
        <w:ind w:left="1440"/>
        <w:jc w:val="both"/>
        <w:rPr>
          <w:rFonts w:ascii="Franklin Gothic Book" w:hAnsi="Franklin Gothic Book" w:cstheme="minorHAnsi"/>
          <w:color w:val="000000"/>
        </w:rPr>
      </w:pPr>
    </w:p>
    <w:p w14:paraId="40FF4F34" w14:textId="6B0A3FC7" w:rsidR="00360785" w:rsidRPr="009E6367" w:rsidRDefault="00D024D2"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 xml:space="preserve"> </w:t>
      </w:r>
      <w:r w:rsidR="00360785" w:rsidRPr="009E6367">
        <w:rPr>
          <w:rFonts w:ascii="Franklin Gothic Book" w:hAnsi="Franklin Gothic Book" w:cstheme="minorHAnsi"/>
          <w:color w:val="000000"/>
        </w:rPr>
        <w:t>Eliminację kieszeni i powierzchni, w których woda i zanieczyszczenia mogą się utrzymywać. Umożliwienie odpływania wody i korozyjnych cieczy z konstrukcji.</w:t>
      </w:r>
    </w:p>
    <w:p w14:paraId="033DB0A1" w14:textId="77777777" w:rsidR="00D024D2" w:rsidRPr="009E6367" w:rsidRDefault="00D024D2" w:rsidP="0022575F">
      <w:pPr>
        <w:pStyle w:val="Akapitzlist"/>
        <w:spacing w:before="120" w:after="120" w:line="23" w:lineRule="atLeast"/>
        <w:ind w:left="1440"/>
        <w:jc w:val="both"/>
        <w:rPr>
          <w:rFonts w:ascii="Franklin Gothic Book" w:hAnsi="Franklin Gothic Book" w:cstheme="minorHAnsi"/>
          <w:color w:val="000000"/>
        </w:rPr>
      </w:pPr>
    </w:p>
    <w:p w14:paraId="5EC20F93" w14:textId="41F4235C" w:rsidR="00D024D2"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Powierzchnie cierne dla połączeń sprężanych powinny być oczyszczone</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 xml:space="preserve">strumieniowo-ściernie do stopnia </w:t>
      </w:r>
      <w:proofErr w:type="spellStart"/>
      <w:r w:rsidRPr="00A41ABC">
        <w:rPr>
          <w:rFonts w:ascii="Franklin Gothic Book" w:hAnsi="Franklin Gothic Book" w:cstheme="minorHAnsi"/>
          <w:color w:val="000000"/>
        </w:rPr>
        <w:t>Sa</w:t>
      </w:r>
      <w:proofErr w:type="spellEnd"/>
      <w:r w:rsidRPr="00A41ABC">
        <w:rPr>
          <w:rFonts w:ascii="Franklin Gothic Book" w:hAnsi="Franklin Gothic Book" w:cstheme="minorHAnsi"/>
          <w:color w:val="000000"/>
        </w:rPr>
        <w:t xml:space="preserve"> 2.5 zgodnie z ISO 8501-1 oraz</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zabezpieczone farbą o odpowiednim stopniu tarcia</w:t>
      </w:r>
      <w:r w:rsidR="00D024D2" w:rsidRPr="00A41ABC">
        <w:rPr>
          <w:rFonts w:ascii="Franklin Gothic Book" w:hAnsi="Franklin Gothic Book" w:cstheme="minorHAnsi"/>
          <w:color w:val="000000"/>
        </w:rPr>
        <w:t>.</w:t>
      </w:r>
    </w:p>
    <w:p w14:paraId="554F9400" w14:textId="5F08B319" w:rsidR="007A4968"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r w:rsidRPr="009E6367">
        <w:rPr>
          <w:rFonts w:ascii="Franklin Gothic Book" w:hAnsi="Franklin Gothic Book" w:cstheme="minorHAnsi"/>
          <w:color w:val="000000"/>
        </w:rPr>
        <w:t>Wykorzystane śruby, nakrętki i podkładki powinny być zabezpieczone przed</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korozją w takim samym stopniu jak konstrukcja</w:t>
      </w:r>
      <w:r w:rsidR="007A4968" w:rsidRPr="00A41ABC">
        <w:rPr>
          <w:rFonts w:ascii="Franklin Gothic Book" w:hAnsi="Franklin Gothic Book" w:cstheme="minorHAnsi"/>
          <w:color w:val="000000"/>
        </w:rPr>
        <w:t>.</w:t>
      </w:r>
    </w:p>
    <w:p w14:paraId="455FD355" w14:textId="216F5C49" w:rsidR="00360785" w:rsidRPr="00A41ABC" w:rsidRDefault="00360785" w:rsidP="0022575F">
      <w:pPr>
        <w:pStyle w:val="Akapitzlist"/>
        <w:numPr>
          <w:ilvl w:val="1"/>
          <w:numId w:val="1"/>
        </w:numPr>
        <w:spacing w:before="120" w:after="120" w:line="23" w:lineRule="atLeast"/>
        <w:ind w:left="1440"/>
        <w:jc w:val="both"/>
        <w:rPr>
          <w:rFonts w:ascii="Franklin Gothic Book" w:hAnsi="Franklin Gothic Book" w:cstheme="minorHAnsi"/>
          <w:color w:val="000000"/>
        </w:rPr>
      </w:pPr>
      <w:proofErr w:type="spellStart"/>
      <w:r w:rsidRPr="009E6367">
        <w:rPr>
          <w:rFonts w:ascii="Franklin Gothic Book" w:hAnsi="Franklin Gothic Book" w:cstheme="minorHAnsi"/>
          <w:color w:val="000000"/>
        </w:rPr>
        <w:lastRenderedPageBreak/>
        <w:t>Skalopsy</w:t>
      </w:r>
      <w:proofErr w:type="spellEnd"/>
      <w:r w:rsidRPr="009E6367">
        <w:rPr>
          <w:rFonts w:ascii="Franklin Gothic Book" w:hAnsi="Franklin Gothic Book" w:cstheme="minorHAnsi"/>
          <w:color w:val="000000"/>
        </w:rPr>
        <w:t xml:space="preserve"> powinny być zaprojektowane w taki sposób, aby umożliwić dostęp</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do otworu (promień nie mniejszy niż 50mm) i poprawne wykonanie</w:t>
      </w:r>
      <w:r w:rsidR="00A41ABC">
        <w:rPr>
          <w:rFonts w:ascii="Franklin Gothic Book" w:hAnsi="Franklin Gothic Book" w:cstheme="minorHAnsi"/>
          <w:color w:val="000000"/>
        </w:rPr>
        <w:t xml:space="preserve"> </w:t>
      </w:r>
      <w:r w:rsidRPr="00A41ABC">
        <w:rPr>
          <w:rFonts w:ascii="Franklin Gothic Book" w:hAnsi="Franklin Gothic Book" w:cstheme="minorHAnsi"/>
          <w:color w:val="000000"/>
        </w:rPr>
        <w:t>przygotowania podłoża, czyszczenia oraz aplikacji farby</w:t>
      </w:r>
    </w:p>
    <w:sectPr w:rsidR="00360785" w:rsidRPr="00A41AB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C9A6" w14:textId="77777777" w:rsidR="00970136" w:rsidRDefault="00970136" w:rsidP="004D31CF">
      <w:pPr>
        <w:spacing w:after="0" w:line="240" w:lineRule="auto"/>
      </w:pPr>
      <w:r>
        <w:separator/>
      </w:r>
    </w:p>
  </w:endnote>
  <w:endnote w:type="continuationSeparator" w:id="0">
    <w:p w14:paraId="06EA68ED" w14:textId="77777777" w:rsidR="00970136" w:rsidRDefault="00970136" w:rsidP="004D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3A8C" w14:textId="77777777" w:rsidR="00970136" w:rsidRDefault="00970136" w:rsidP="004D31CF">
      <w:pPr>
        <w:spacing w:after="0" w:line="240" w:lineRule="auto"/>
      </w:pPr>
      <w:r>
        <w:separator/>
      </w:r>
    </w:p>
  </w:footnote>
  <w:footnote w:type="continuationSeparator" w:id="0">
    <w:p w14:paraId="5D88CD25" w14:textId="77777777" w:rsidR="00970136" w:rsidRDefault="00970136" w:rsidP="004D3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B6E1" w14:textId="77777777" w:rsidR="004D31CF" w:rsidRPr="00990A43" w:rsidRDefault="004D31CF" w:rsidP="004D31CF">
    <w:pPr>
      <w:spacing w:before="120" w:after="120" w:line="23" w:lineRule="atLeast"/>
      <w:ind w:left="709"/>
      <w:jc w:val="center"/>
      <w:rPr>
        <w:rFonts w:ascii="Franklin Gothic Book" w:hAnsi="Franklin Gothic Book"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F348A"/>
    <w:multiLevelType w:val="multilevel"/>
    <w:tmpl w:val="C2B651B0"/>
    <w:lvl w:ilvl="0">
      <w:start w:val="1"/>
      <w:numFmt w:val="bullet"/>
      <w:lvlText w:val=""/>
      <w:lvlJc w:val="left"/>
      <w:pPr>
        <w:ind w:left="360" w:hanging="360"/>
      </w:pPr>
      <w:rPr>
        <w:rFonts w:ascii="Symbol" w:hAnsi="Symbol"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E31AD7"/>
    <w:multiLevelType w:val="hybridMultilevel"/>
    <w:tmpl w:val="D6F63FC4"/>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 w15:restartNumberingAfterBreak="0">
    <w:nsid w:val="23261663"/>
    <w:multiLevelType w:val="hybridMultilevel"/>
    <w:tmpl w:val="20220B88"/>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3" w15:restartNumberingAfterBreak="0">
    <w:nsid w:val="40DC030D"/>
    <w:multiLevelType w:val="multilevel"/>
    <w:tmpl w:val="22E89040"/>
    <w:lvl w:ilvl="0">
      <w:start w:val="1"/>
      <w:numFmt w:val="decimal"/>
      <w:lvlText w:val="%1."/>
      <w:lvlJc w:val="left"/>
      <w:pPr>
        <w:ind w:left="360" w:hanging="360"/>
      </w:pPr>
      <w:rPr>
        <w:b/>
        <w:sz w:val="22"/>
        <w:szCs w:val="22"/>
      </w:rPr>
    </w:lvl>
    <w:lvl w:ilvl="1">
      <w:start w:val="1"/>
      <w:numFmt w:val="decimal"/>
      <w:isLgl/>
      <w:lvlText w:val="%1.%2"/>
      <w:lvlJc w:val="left"/>
      <w:pPr>
        <w:ind w:left="360" w:hanging="360"/>
      </w:pPr>
      <w:rPr>
        <w:rFonts w:ascii="Franklin Gothic Book" w:hAnsi="Franklin Gothic Book" w:hint="default"/>
        <w:b w:val="0"/>
        <w:sz w:val="22"/>
        <w:szCs w:val="22"/>
      </w:rPr>
    </w:lvl>
    <w:lvl w:ilvl="2">
      <w:start w:val="1"/>
      <w:numFmt w:val="decimal"/>
      <w:isLgl/>
      <w:lvlText w:val="%1.%2.%3"/>
      <w:lvlJc w:val="left"/>
      <w:pPr>
        <w:ind w:left="1430" w:hanging="720"/>
      </w:pPr>
      <w:rPr>
        <w:rFonts w:hint="default"/>
        <w:b w:val="0"/>
        <w:color w:val="000000" w:themeColor="text1"/>
        <w:sz w:val="22"/>
        <w:szCs w:val="22"/>
      </w:rPr>
    </w:lvl>
    <w:lvl w:ilvl="3">
      <w:start w:val="1"/>
      <w:numFmt w:val="decimal"/>
      <w:isLgl/>
      <w:lvlText w:val="%1.%2.%3.%4"/>
      <w:lvlJc w:val="left"/>
      <w:pPr>
        <w:ind w:left="1713"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46BB4460"/>
    <w:multiLevelType w:val="hybridMultilevel"/>
    <w:tmpl w:val="BA6A1E9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5" w15:restartNumberingAfterBreak="0">
    <w:nsid w:val="489A7DE9"/>
    <w:multiLevelType w:val="hybridMultilevel"/>
    <w:tmpl w:val="46C0C056"/>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6" w15:restartNumberingAfterBreak="0">
    <w:nsid w:val="5CFA30EF"/>
    <w:multiLevelType w:val="hybridMultilevel"/>
    <w:tmpl w:val="F8243F7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 w15:restartNumberingAfterBreak="0">
    <w:nsid w:val="72D23CE1"/>
    <w:multiLevelType w:val="hybridMultilevel"/>
    <w:tmpl w:val="723E2ECA"/>
    <w:lvl w:ilvl="0" w:tplc="04150001">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 w15:restartNumberingAfterBreak="0">
    <w:nsid w:val="78D017A1"/>
    <w:multiLevelType w:val="hybridMultilevel"/>
    <w:tmpl w:val="7898DB48"/>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7D946982"/>
    <w:multiLevelType w:val="multilevel"/>
    <w:tmpl w:val="AEDCABB4"/>
    <w:lvl w:ilvl="0">
      <w:start w:val="1"/>
      <w:numFmt w:val="decimal"/>
      <w:lvlText w:val="%1."/>
      <w:lvlJc w:val="left"/>
      <w:pPr>
        <w:ind w:left="1440" w:hanging="360"/>
      </w:pPr>
      <w:rPr>
        <w:b/>
      </w:rPr>
    </w:lvl>
    <w:lvl w:ilvl="1">
      <w:start w:val="1"/>
      <w:numFmt w:val="decimal"/>
      <w:isLgl/>
      <w:lvlText w:val="%1.%2"/>
      <w:lvlJc w:val="left"/>
      <w:pPr>
        <w:ind w:left="1353"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180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1157459833">
    <w:abstractNumId w:val="9"/>
  </w:num>
  <w:num w:numId="2" w16cid:durableId="1735617818">
    <w:abstractNumId w:val="3"/>
  </w:num>
  <w:num w:numId="3" w16cid:durableId="491801147">
    <w:abstractNumId w:val="0"/>
  </w:num>
  <w:num w:numId="4" w16cid:durableId="1937244483">
    <w:abstractNumId w:val="8"/>
  </w:num>
  <w:num w:numId="5" w16cid:durableId="1354381180">
    <w:abstractNumId w:val="1"/>
  </w:num>
  <w:num w:numId="6" w16cid:durableId="1199393378">
    <w:abstractNumId w:val="7"/>
  </w:num>
  <w:num w:numId="7" w16cid:durableId="54358135">
    <w:abstractNumId w:val="4"/>
  </w:num>
  <w:num w:numId="8" w16cid:durableId="1662731093">
    <w:abstractNumId w:val="2"/>
  </w:num>
  <w:num w:numId="9" w16cid:durableId="495730538">
    <w:abstractNumId w:val="5"/>
  </w:num>
  <w:num w:numId="10" w16cid:durableId="5826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B2"/>
    <w:rsid w:val="00044A02"/>
    <w:rsid w:val="000B29D7"/>
    <w:rsid w:val="00142109"/>
    <w:rsid w:val="00172A6A"/>
    <w:rsid w:val="00203905"/>
    <w:rsid w:val="0022575F"/>
    <w:rsid w:val="00275D01"/>
    <w:rsid w:val="002D35BA"/>
    <w:rsid w:val="002E0D6A"/>
    <w:rsid w:val="002F3A1D"/>
    <w:rsid w:val="0033063E"/>
    <w:rsid w:val="00360785"/>
    <w:rsid w:val="003714C2"/>
    <w:rsid w:val="003A161C"/>
    <w:rsid w:val="003C4A42"/>
    <w:rsid w:val="004563DC"/>
    <w:rsid w:val="00486976"/>
    <w:rsid w:val="00495BF5"/>
    <w:rsid w:val="004D0FB9"/>
    <w:rsid w:val="004D31CF"/>
    <w:rsid w:val="004E0112"/>
    <w:rsid w:val="004E4A17"/>
    <w:rsid w:val="005C47B2"/>
    <w:rsid w:val="00614F48"/>
    <w:rsid w:val="00632F67"/>
    <w:rsid w:val="006D6AFA"/>
    <w:rsid w:val="006E32E5"/>
    <w:rsid w:val="00791F0E"/>
    <w:rsid w:val="007A4968"/>
    <w:rsid w:val="007F338F"/>
    <w:rsid w:val="008369AC"/>
    <w:rsid w:val="00855727"/>
    <w:rsid w:val="00930962"/>
    <w:rsid w:val="00970136"/>
    <w:rsid w:val="009E2FB3"/>
    <w:rsid w:val="009E6367"/>
    <w:rsid w:val="00A02976"/>
    <w:rsid w:val="00A41ABC"/>
    <w:rsid w:val="00A504CF"/>
    <w:rsid w:val="00A50619"/>
    <w:rsid w:val="00AA0846"/>
    <w:rsid w:val="00AC2C25"/>
    <w:rsid w:val="00B43BA1"/>
    <w:rsid w:val="00B65D0F"/>
    <w:rsid w:val="00BE1465"/>
    <w:rsid w:val="00C0508C"/>
    <w:rsid w:val="00CC230E"/>
    <w:rsid w:val="00D024D2"/>
    <w:rsid w:val="00D31159"/>
    <w:rsid w:val="00DA4ADF"/>
    <w:rsid w:val="00DE57B1"/>
    <w:rsid w:val="00E277C5"/>
    <w:rsid w:val="00EE3633"/>
    <w:rsid w:val="00F52A87"/>
    <w:rsid w:val="00FC04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8174"/>
  <w15:chartTrackingRefBased/>
  <w15:docId w15:val="{E5FC6F2B-47F7-4A3C-A9B4-349AAA59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A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Body Texte,List Paragraph1,Para. de Liste,lp1,Preambuła,Lista - poziom 1,Tabela - naglowek,SM-nagłówek2,CP-UC,1_literowka,Literowanie,Akapit z listą;1_literowka,Wypunktowanie,Tytuły,Lista num,Normal,Akapit z listą3"/>
    <w:basedOn w:val="Normalny"/>
    <w:link w:val="AkapitzlistZnak"/>
    <w:uiPriority w:val="99"/>
    <w:qFormat/>
    <w:rsid w:val="006D6AF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Wypunktowanie Znak"/>
    <w:link w:val="Akapitzlist"/>
    <w:uiPriority w:val="99"/>
    <w:qFormat/>
    <w:locked/>
    <w:rsid w:val="006D6AFA"/>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369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69AC"/>
  </w:style>
  <w:style w:type="character" w:styleId="Odwoaniedokomentarza">
    <w:name w:val="annotation reference"/>
    <w:basedOn w:val="Domylnaczcionkaakapitu"/>
    <w:uiPriority w:val="99"/>
    <w:semiHidden/>
    <w:unhideWhenUsed/>
    <w:rsid w:val="008369AC"/>
    <w:rPr>
      <w:sz w:val="16"/>
      <w:szCs w:val="16"/>
    </w:rPr>
  </w:style>
  <w:style w:type="paragraph" w:styleId="Tekstkomentarza">
    <w:name w:val="annotation text"/>
    <w:basedOn w:val="Normalny"/>
    <w:link w:val="TekstkomentarzaZnak"/>
    <w:uiPriority w:val="99"/>
    <w:semiHidden/>
    <w:unhideWhenUsed/>
    <w:rsid w:val="00836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69AC"/>
    <w:rPr>
      <w:sz w:val="20"/>
      <w:szCs w:val="20"/>
    </w:rPr>
  </w:style>
  <w:style w:type="paragraph" w:styleId="Tekstdymka">
    <w:name w:val="Balloon Text"/>
    <w:basedOn w:val="Normalny"/>
    <w:link w:val="TekstdymkaZnak"/>
    <w:uiPriority w:val="99"/>
    <w:semiHidden/>
    <w:unhideWhenUsed/>
    <w:rsid w:val="00836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69AC"/>
    <w:rPr>
      <w:rFonts w:ascii="Segoe UI" w:hAnsi="Segoe UI" w:cs="Segoe UI"/>
      <w:sz w:val="18"/>
      <w:szCs w:val="18"/>
    </w:rPr>
  </w:style>
  <w:style w:type="paragraph" w:styleId="Stopka">
    <w:name w:val="footer"/>
    <w:basedOn w:val="Normalny"/>
    <w:link w:val="StopkaZnak"/>
    <w:uiPriority w:val="99"/>
    <w:unhideWhenUsed/>
    <w:rsid w:val="004D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31CF"/>
  </w:style>
  <w:style w:type="paragraph" w:styleId="Tematkomentarza">
    <w:name w:val="annotation subject"/>
    <w:basedOn w:val="Tekstkomentarza"/>
    <w:next w:val="Tekstkomentarza"/>
    <w:link w:val="TematkomentarzaZnak"/>
    <w:uiPriority w:val="99"/>
    <w:semiHidden/>
    <w:unhideWhenUsed/>
    <w:rsid w:val="003714C2"/>
    <w:rPr>
      <w:b/>
      <w:bCs/>
    </w:rPr>
  </w:style>
  <w:style w:type="character" w:customStyle="1" w:styleId="TematkomentarzaZnak">
    <w:name w:val="Temat komentarza Znak"/>
    <w:basedOn w:val="TekstkomentarzaZnak"/>
    <w:link w:val="Tematkomentarza"/>
    <w:uiPriority w:val="99"/>
    <w:semiHidden/>
    <w:rsid w:val="003714C2"/>
    <w:rPr>
      <w:b/>
      <w:bCs/>
      <w:sz w:val="20"/>
      <w:szCs w:val="20"/>
    </w:rPr>
  </w:style>
  <w:style w:type="paragraph" w:styleId="Poprawka">
    <w:name w:val="Revision"/>
    <w:hidden/>
    <w:uiPriority w:val="99"/>
    <w:semiHidden/>
    <w:rsid w:val="004E0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2F38-972E-4C4D-B39A-4600BC2C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1652</Words>
  <Characters>9915</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Koperski Jan</dc:creator>
  <cp:keywords/>
  <dc:description/>
  <cp:lastModifiedBy>Bąk-Mazur Katarzyna EEP</cp:lastModifiedBy>
  <cp:revision>10</cp:revision>
  <dcterms:created xsi:type="dcterms:W3CDTF">2024-08-28T10:10:00Z</dcterms:created>
  <dcterms:modified xsi:type="dcterms:W3CDTF">2025-10-24T08:06:00Z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2025-10-22T08:44:27Z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f6ff52df-7855-4758-b2dc-ca7102513566</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